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9175" w14:textId="269E5C0D" w:rsidR="00181CA9" w:rsidRPr="00A40B80" w:rsidRDefault="00181CA9" w:rsidP="00181CA9">
      <w:pPr>
        <w:pStyle w:val="Titel"/>
        <w:spacing w:after="0" w:line="276" w:lineRule="auto"/>
        <w:ind w:left="-284"/>
        <w:rPr>
          <w:rFonts w:asciiTheme="minorHAnsi" w:hAnsiTheme="minorHAnsi"/>
          <w:b/>
          <w:bCs/>
          <w:sz w:val="20"/>
          <w:szCs w:val="20"/>
          <w:lang w:val="en-GB" w:eastAsia="en-US"/>
        </w:rPr>
      </w:pPr>
      <w:r w:rsidRPr="00A40B80">
        <w:rPr>
          <w:rFonts w:asciiTheme="minorHAnsi" w:hAnsiTheme="minorHAnsi"/>
          <w:b/>
          <w:bCs/>
          <w:sz w:val="20"/>
          <w:szCs w:val="20"/>
          <w:lang w:val="en-GB"/>
        </w:rPr>
        <w:t xml:space="preserve">VALX </w:t>
      </w:r>
      <w:r w:rsidR="00A63A8E">
        <w:rPr>
          <w:rFonts w:asciiTheme="minorHAnsi" w:hAnsiTheme="minorHAnsi"/>
          <w:b/>
          <w:bCs/>
          <w:sz w:val="20"/>
          <w:szCs w:val="20"/>
          <w:lang w:val="en-GB"/>
        </w:rPr>
        <w:t>B.V.</w:t>
      </w:r>
      <w:r w:rsidRPr="00A40B80">
        <w:rPr>
          <w:rFonts w:asciiTheme="minorHAnsi" w:hAnsiTheme="minorHAnsi"/>
          <w:b/>
          <w:bCs/>
          <w:sz w:val="20"/>
          <w:szCs w:val="20"/>
          <w:lang w:val="en-GB"/>
        </w:rPr>
        <w:t xml:space="preserve"> Warranty Commitment Landing Gears</w:t>
      </w:r>
    </w:p>
    <w:p w14:paraId="3DE3F631" w14:textId="77777777" w:rsidR="00181CA9" w:rsidRPr="00A40B80" w:rsidRDefault="00181CA9" w:rsidP="00181CA9">
      <w:pPr>
        <w:pStyle w:val="Titel"/>
        <w:spacing w:after="0" w:line="276" w:lineRule="auto"/>
        <w:ind w:left="-284"/>
        <w:rPr>
          <w:rFonts w:asciiTheme="minorHAnsi" w:hAnsiTheme="minorHAnsi"/>
          <w:b/>
          <w:bCs/>
          <w:sz w:val="20"/>
          <w:szCs w:val="20"/>
          <w:lang w:val="en-GB" w:eastAsia="en-US"/>
        </w:rPr>
      </w:pPr>
    </w:p>
    <w:p w14:paraId="5399E803" w14:textId="7B98007D" w:rsidR="00181CA9" w:rsidRPr="00A40B80" w:rsidRDefault="00181CA9" w:rsidP="00181CA9">
      <w:pPr>
        <w:pStyle w:val="Titel"/>
        <w:spacing w:after="0" w:line="276" w:lineRule="auto"/>
        <w:ind w:left="-284"/>
        <w:rPr>
          <w:rFonts w:asciiTheme="minorHAnsi" w:hAnsiTheme="minorHAnsi"/>
          <w:b/>
          <w:bCs/>
          <w:sz w:val="20"/>
          <w:szCs w:val="20"/>
          <w:lang w:val="en-GB" w:eastAsia="en-US"/>
        </w:rPr>
      </w:pPr>
      <w:r w:rsidRPr="00A40B80">
        <w:rPr>
          <w:rFonts w:asciiTheme="minorHAnsi" w:hAnsiTheme="minorHAnsi"/>
          <w:sz w:val="18"/>
          <w:szCs w:val="18"/>
          <w:lang w:val="en-GB"/>
        </w:rPr>
        <w:t>This document defines the warranty coverage, conditions and limitations applicable to VALX landing legs.</w:t>
      </w:r>
    </w:p>
    <w:p w14:paraId="0AA413D7" w14:textId="77777777" w:rsidR="00181CA9" w:rsidRPr="00A40B80" w:rsidRDefault="00181CA9" w:rsidP="00181CA9">
      <w:pPr>
        <w:spacing w:line="276" w:lineRule="auto"/>
        <w:ind w:left="-426"/>
        <w:rPr>
          <w:rFonts w:asciiTheme="minorHAnsi" w:hAnsiTheme="minorHAnsi"/>
          <w:sz w:val="22"/>
          <w:szCs w:val="22"/>
          <w:lang w:val="en-GB"/>
        </w:rPr>
      </w:pPr>
    </w:p>
    <w:p w14:paraId="2426465E" w14:textId="77777777" w:rsidR="00181CA9" w:rsidRPr="00A40B80" w:rsidRDefault="00181CA9" w:rsidP="00181CA9">
      <w:pPr>
        <w:spacing w:line="276" w:lineRule="auto"/>
        <w:ind w:left="-284"/>
        <w:rPr>
          <w:rFonts w:asciiTheme="minorHAnsi" w:hAnsiTheme="minorHAnsi"/>
          <w:b/>
          <w:bCs/>
          <w:sz w:val="20"/>
          <w:szCs w:val="20"/>
          <w:lang w:val="en-US"/>
        </w:rPr>
      </w:pPr>
      <w:r w:rsidRPr="00A40B80">
        <w:rPr>
          <w:rFonts w:asciiTheme="minorHAnsi" w:hAnsiTheme="minorHAnsi"/>
          <w:b/>
          <w:bCs/>
          <w:sz w:val="20"/>
          <w:szCs w:val="20"/>
          <w:lang w:val="en-US"/>
        </w:rPr>
        <w:t>Definitions:</w:t>
      </w:r>
    </w:p>
    <w:p w14:paraId="6B6639A5" w14:textId="71FB056B" w:rsidR="00181CA9" w:rsidRPr="00A40B80" w:rsidRDefault="00181CA9" w:rsidP="00181CA9">
      <w:pPr>
        <w:numPr>
          <w:ilvl w:val="0"/>
          <w:numId w:val="3"/>
        </w:numPr>
        <w:spacing w:line="276" w:lineRule="auto"/>
        <w:ind w:left="-426" w:firstLine="142"/>
        <w:rPr>
          <w:rFonts w:asciiTheme="minorHAnsi" w:hAnsiTheme="minorHAnsi"/>
          <w:sz w:val="18"/>
          <w:szCs w:val="18"/>
        </w:rPr>
      </w:pPr>
      <w:r w:rsidRPr="00A40B80">
        <w:rPr>
          <w:rFonts w:asciiTheme="minorHAnsi" w:hAnsiTheme="minorHAnsi"/>
          <w:sz w:val="18"/>
          <w:szCs w:val="18"/>
        </w:rPr>
        <w:t xml:space="preserve">“VALX” </w:t>
      </w:r>
      <w:r w:rsidRPr="00A40B80">
        <w:rPr>
          <w:rFonts w:asciiTheme="minorHAnsi" w:hAnsiTheme="minorHAnsi"/>
          <w:sz w:val="18"/>
          <w:szCs w:val="18"/>
        </w:rPr>
        <w:tab/>
      </w:r>
      <w:r w:rsidRPr="00A40B80">
        <w:rPr>
          <w:rFonts w:asciiTheme="minorHAnsi" w:hAnsiTheme="minorHAnsi"/>
          <w:sz w:val="18"/>
          <w:szCs w:val="18"/>
        </w:rPr>
        <w:tab/>
        <w:t xml:space="preserve">= VALX </w:t>
      </w:r>
      <w:r w:rsidR="00F85B3B">
        <w:rPr>
          <w:rFonts w:asciiTheme="minorHAnsi" w:hAnsiTheme="minorHAnsi"/>
          <w:sz w:val="18"/>
          <w:szCs w:val="18"/>
        </w:rPr>
        <w:t>B.V.</w:t>
      </w:r>
      <w:r w:rsidRPr="00A40B80">
        <w:rPr>
          <w:rFonts w:asciiTheme="minorHAnsi" w:hAnsiTheme="minorHAnsi"/>
          <w:sz w:val="18"/>
          <w:szCs w:val="18"/>
        </w:rPr>
        <w:t>, Ne</w:t>
      </w:r>
      <w:r w:rsidR="001664CA" w:rsidRPr="00A40B80">
        <w:rPr>
          <w:rFonts w:asciiTheme="minorHAnsi" w:hAnsiTheme="minorHAnsi"/>
          <w:sz w:val="18"/>
          <w:szCs w:val="18"/>
        </w:rPr>
        <w:t>therlands</w:t>
      </w:r>
    </w:p>
    <w:p w14:paraId="4BBE634E" w14:textId="77777777" w:rsidR="00181CA9" w:rsidRPr="00A40B80" w:rsidRDefault="00181CA9" w:rsidP="00181CA9">
      <w:pPr>
        <w:numPr>
          <w:ilvl w:val="0"/>
          <w:numId w:val="3"/>
        </w:numPr>
        <w:spacing w:line="276" w:lineRule="auto"/>
        <w:ind w:left="-426" w:firstLine="142"/>
        <w:rPr>
          <w:rFonts w:asciiTheme="minorHAnsi" w:hAnsiTheme="minorHAnsi"/>
          <w:sz w:val="18"/>
          <w:szCs w:val="18"/>
          <w:lang w:val="en-GB"/>
        </w:rPr>
      </w:pPr>
      <w:r w:rsidRPr="00A40B80">
        <w:rPr>
          <w:rFonts w:asciiTheme="minorHAnsi" w:hAnsiTheme="minorHAnsi"/>
          <w:sz w:val="18"/>
          <w:szCs w:val="18"/>
          <w:lang w:val="en-GB"/>
        </w:rPr>
        <w:t xml:space="preserve">“Customer” </w:t>
      </w:r>
      <w:r w:rsidRPr="00A40B80">
        <w:rPr>
          <w:rFonts w:asciiTheme="minorHAnsi" w:hAnsiTheme="minorHAnsi"/>
          <w:sz w:val="18"/>
          <w:szCs w:val="18"/>
          <w:lang w:val="en-GB"/>
        </w:rPr>
        <w:tab/>
        <w:t>= First owner of the vehicle</w:t>
      </w:r>
    </w:p>
    <w:p w14:paraId="61F4849F" w14:textId="77777777" w:rsidR="00181CA9" w:rsidRPr="00A40B80" w:rsidRDefault="00181CA9" w:rsidP="00181CA9">
      <w:pPr>
        <w:numPr>
          <w:ilvl w:val="0"/>
          <w:numId w:val="3"/>
        </w:numPr>
        <w:spacing w:line="276" w:lineRule="auto"/>
        <w:ind w:left="-426" w:firstLine="142"/>
        <w:rPr>
          <w:rFonts w:asciiTheme="minorHAnsi" w:hAnsiTheme="minorHAnsi"/>
          <w:sz w:val="18"/>
          <w:szCs w:val="18"/>
          <w:lang w:val="en-GB"/>
        </w:rPr>
      </w:pPr>
      <w:r w:rsidRPr="00A40B80">
        <w:rPr>
          <w:rFonts w:asciiTheme="minorHAnsi" w:hAnsiTheme="minorHAnsi"/>
          <w:sz w:val="18"/>
          <w:szCs w:val="18"/>
          <w:lang w:val="en-GB"/>
        </w:rPr>
        <w:t xml:space="preserve">“Product” </w:t>
      </w:r>
      <w:r w:rsidRPr="00A40B80">
        <w:rPr>
          <w:rFonts w:asciiTheme="minorHAnsi" w:hAnsiTheme="minorHAnsi"/>
          <w:sz w:val="18"/>
          <w:szCs w:val="18"/>
          <w:lang w:val="en-GB"/>
        </w:rPr>
        <w:tab/>
        <w:t xml:space="preserve">= Valx Landing Gears P, H and e-Leg </w:t>
      </w:r>
    </w:p>
    <w:p w14:paraId="7C90A711" w14:textId="77777777" w:rsidR="00181CA9" w:rsidRPr="00A40B80" w:rsidRDefault="00181CA9" w:rsidP="00181CA9">
      <w:pPr>
        <w:numPr>
          <w:ilvl w:val="0"/>
          <w:numId w:val="3"/>
        </w:numPr>
        <w:spacing w:line="276" w:lineRule="auto"/>
        <w:ind w:left="-426" w:firstLine="142"/>
        <w:rPr>
          <w:rFonts w:asciiTheme="minorHAnsi" w:hAnsiTheme="minorHAnsi"/>
          <w:sz w:val="18"/>
          <w:szCs w:val="18"/>
          <w:lang w:val="en-GB"/>
        </w:rPr>
      </w:pPr>
      <w:r w:rsidRPr="00A40B80">
        <w:rPr>
          <w:rFonts w:asciiTheme="minorHAnsi" w:hAnsiTheme="minorHAnsi"/>
          <w:sz w:val="18"/>
          <w:szCs w:val="18"/>
          <w:lang w:val="en-GB"/>
        </w:rPr>
        <w:t>“Warranty”</w:t>
      </w:r>
      <w:r w:rsidRPr="00A40B80">
        <w:rPr>
          <w:rFonts w:asciiTheme="minorHAnsi" w:hAnsiTheme="minorHAnsi"/>
          <w:sz w:val="18"/>
          <w:szCs w:val="18"/>
          <w:lang w:val="en-GB"/>
        </w:rPr>
        <w:tab/>
        <w:t>= The VALX bv Warranty Commitment</w:t>
      </w:r>
    </w:p>
    <w:p w14:paraId="5466392D" w14:textId="77777777" w:rsidR="00181CA9" w:rsidRPr="00A40B80" w:rsidRDefault="00181CA9" w:rsidP="00181CA9">
      <w:pPr>
        <w:numPr>
          <w:ilvl w:val="0"/>
          <w:numId w:val="3"/>
        </w:numPr>
        <w:spacing w:line="276" w:lineRule="auto"/>
        <w:ind w:left="-426" w:firstLine="142"/>
        <w:rPr>
          <w:rFonts w:asciiTheme="minorHAnsi" w:hAnsiTheme="minorHAnsi"/>
          <w:sz w:val="18"/>
          <w:szCs w:val="18"/>
          <w:lang w:val="en-GB"/>
        </w:rPr>
      </w:pPr>
      <w:r w:rsidRPr="00A40B80">
        <w:rPr>
          <w:rFonts w:asciiTheme="minorHAnsi" w:hAnsiTheme="minorHAnsi"/>
          <w:sz w:val="18"/>
          <w:szCs w:val="18"/>
          <w:lang w:val="en-GB"/>
        </w:rPr>
        <w:t>“Workshop”</w:t>
      </w:r>
      <w:r w:rsidRPr="00A40B80">
        <w:rPr>
          <w:rFonts w:asciiTheme="minorHAnsi" w:hAnsiTheme="minorHAnsi"/>
          <w:sz w:val="18"/>
          <w:szCs w:val="18"/>
          <w:lang w:val="en-GB"/>
        </w:rPr>
        <w:tab/>
        <w:t>= An authorized VALX Repair Workshop</w:t>
      </w:r>
    </w:p>
    <w:p w14:paraId="70AC52E1" w14:textId="77777777" w:rsidR="00181CA9" w:rsidRPr="00A40B80" w:rsidRDefault="00181CA9" w:rsidP="00181CA9">
      <w:pPr>
        <w:spacing w:line="276" w:lineRule="auto"/>
        <w:ind w:left="-426" w:firstLine="142"/>
        <w:rPr>
          <w:rFonts w:asciiTheme="minorHAnsi" w:hAnsiTheme="minorHAnsi"/>
          <w:sz w:val="20"/>
          <w:szCs w:val="20"/>
          <w:lang w:val="en-GB"/>
        </w:rPr>
      </w:pPr>
    </w:p>
    <w:p w14:paraId="45D10767" w14:textId="77777777" w:rsidR="00181CA9" w:rsidRPr="00A40B80" w:rsidRDefault="00181CA9" w:rsidP="00181CA9">
      <w:pPr>
        <w:spacing w:line="276" w:lineRule="auto"/>
        <w:ind w:left="-426" w:firstLine="142"/>
        <w:rPr>
          <w:rFonts w:asciiTheme="minorHAnsi" w:hAnsiTheme="minorHAnsi"/>
          <w:b/>
          <w:bCs/>
          <w:sz w:val="20"/>
          <w:szCs w:val="20"/>
          <w:lang w:val="en-GB"/>
        </w:rPr>
      </w:pPr>
      <w:r w:rsidRPr="00A40B80">
        <w:rPr>
          <w:rFonts w:asciiTheme="minorHAnsi" w:hAnsiTheme="minorHAnsi"/>
          <w:b/>
          <w:bCs/>
          <w:sz w:val="20"/>
          <w:szCs w:val="20"/>
          <w:lang w:val="en-GB"/>
        </w:rPr>
        <w:t>Scope:</w:t>
      </w:r>
    </w:p>
    <w:p w14:paraId="29743317" w14:textId="77777777" w:rsidR="00FF50CE" w:rsidRPr="00FF50CE" w:rsidRDefault="00FF50CE" w:rsidP="00FF50CE">
      <w:pPr>
        <w:spacing w:line="276" w:lineRule="auto"/>
        <w:ind w:left="-284"/>
        <w:rPr>
          <w:rFonts w:asciiTheme="minorHAnsi" w:hAnsiTheme="minorHAnsi"/>
          <w:sz w:val="18"/>
          <w:szCs w:val="18"/>
          <w:lang w:val="en-GB"/>
        </w:rPr>
      </w:pPr>
      <w:r w:rsidRPr="00FF50CE">
        <w:rPr>
          <w:rFonts w:asciiTheme="minorHAnsi" w:hAnsiTheme="minorHAnsi"/>
          <w:sz w:val="18"/>
          <w:szCs w:val="18"/>
          <w:lang w:val="en-GB"/>
        </w:rPr>
        <w:t>All VALX products are covered by the VALX standard warranty system as defined in this document.</w:t>
      </w:r>
    </w:p>
    <w:p w14:paraId="69D8C508" w14:textId="77777777" w:rsidR="00FF50CE" w:rsidRPr="00FF50CE" w:rsidRDefault="00FF50CE" w:rsidP="00FF50CE">
      <w:pPr>
        <w:spacing w:line="276" w:lineRule="auto"/>
        <w:ind w:left="-284"/>
        <w:rPr>
          <w:rFonts w:asciiTheme="minorHAnsi" w:hAnsiTheme="minorHAnsi"/>
          <w:sz w:val="18"/>
          <w:szCs w:val="18"/>
          <w:lang w:val="en-GB"/>
        </w:rPr>
      </w:pPr>
      <w:r w:rsidRPr="00FF50CE">
        <w:rPr>
          <w:rFonts w:asciiTheme="minorHAnsi" w:hAnsiTheme="minorHAnsi"/>
          <w:sz w:val="18"/>
          <w:szCs w:val="18"/>
          <w:lang w:val="en-GB"/>
        </w:rPr>
        <w:t xml:space="preserve">Within this system, VALX will </w:t>
      </w:r>
      <w:r w:rsidRPr="00FF50CE">
        <w:rPr>
          <w:rFonts w:asciiTheme="minorHAnsi" w:hAnsiTheme="minorHAnsi"/>
          <w:sz w:val="18"/>
          <w:szCs w:val="18"/>
          <w:lang w:val="en-US"/>
        </w:rPr>
        <w:t xml:space="preserve">assume responsibility for </w:t>
      </w:r>
      <w:r w:rsidRPr="00FF50CE">
        <w:rPr>
          <w:rFonts w:asciiTheme="minorHAnsi" w:hAnsiTheme="minorHAnsi"/>
          <w:sz w:val="18"/>
          <w:szCs w:val="18"/>
          <w:lang w:val="en-GB"/>
        </w:rPr>
        <w:t>the costs of repair and/or unscheduled maintenance of the Product in case of malfunction or manufacturing defect, provided that prior agreement has been obtained by VALX.</w:t>
      </w:r>
    </w:p>
    <w:p w14:paraId="1CBB2C49" w14:textId="77777777" w:rsidR="00181CA9" w:rsidRPr="00A40B80" w:rsidRDefault="00181CA9" w:rsidP="00181CA9">
      <w:pPr>
        <w:spacing w:line="276" w:lineRule="auto"/>
        <w:ind w:left="-426" w:firstLine="142"/>
        <w:rPr>
          <w:rFonts w:asciiTheme="minorHAnsi" w:hAnsiTheme="minorHAnsi"/>
          <w:sz w:val="20"/>
          <w:szCs w:val="20"/>
          <w:lang w:val="en-GB"/>
        </w:rPr>
      </w:pPr>
    </w:p>
    <w:p w14:paraId="539EAF34" w14:textId="77777777" w:rsidR="00181CA9" w:rsidRPr="00A40B80" w:rsidRDefault="00181CA9" w:rsidP="00181CA9">
      <w:pPr>
        <w:spacing w:line="276" w:lineRule="auto"/>
        <w:ind w:left="-426" w:firstLine="142"/>
        <w:rPr>
          <w:rFonts w:asciiTheme="minorHAnsi" w:hAnsiTheme="minorHAnsi"/>
          <w:b/>
          <w:bCs/>
          <w:sz w:val="20"/>
          <w:szCs w:val="20"/>
          <w:lang w:val="en-GB"/>
        </w:rPr>
      </w:pPr>
      <w:r w:rsidRPr="00A40B80">
        <w:rPr>
          <w:rFonts w:asciiTheme="minorHAnsi" w:hAnsiTheme="minorHAnsi"/>
          <w:b/>
          <w:bCs/>
          <w:sz w:val="20"/>
          <w:szCs w:val="20"/>
          <w:lang w:val="en-GB"/>
        </w:rPr>
        <w:t>Applicable for:</w:t>
      </w:r>
    </w:p>
    <w:p w14:paraId="09B4510F" w14:textId="69359E5C" w:rsidR="00181CA9" w:rsidRPr="00A40B80" w:rsidRDefault="00181CA9" w:rsidP="00181CA9">
      <w:pPr>
        <w:spacing w:line="276" w:lineRule="auto"/>
        <w:ind w:left="-426" w:firstLine="142"/>
        <w:rPr>
          <w:rFonts w:asciiTheme="minorHAnsi" w:hAnsiTheme="minorHAnsi"/>
          <w:sz w:val="18"/>
          <w:szCs w:val="18"/>
          <w:lang w:val="en-GB"/>
        </w:rPr>
      </w:pPr>
      <w:r w:rsidRPr="00A40B80">
        <w:rPr>
          <w:rFonts w:asciiTheme="minorHAnsi" w:hAnsiTheme="minorHAnsi"/>
          <w:sz w:val="18"/>
          <w:szCs w:val="18"/>
          <w:lang w:val="en-GB"/>
        </w:rPr>
        <w:t xml:space="preserve">The warranty is applicable for the vehicle equipped with the </w:t>
      </w:r>
      <w:r w:rsidR="00D63AB0">
        <w:rPr>
          <w:rFonts w:asciiTheme="minorHAnsi" w:hAnsiTheme="minorHAnsi"/>
          <w:sz w:val="18"/>
          <w:szCs w:val="18"/>
          <w:lang w:val="en-GB"/>
        </w:rPr>
        <w:t>P</w:t>
      </w:r>
      <w:r w:rsidRPr="00A40B80">
        <w:rPr>
          <w:rFonts w:asciiTheme="minorHAnsi" w:hAnsiTheme="minorHAnsi"/>
          <w:sz w:val="18"/>
          <w:szCs w:val="18"/>
          <w:lang w:val="en-GB"/>
        </w:rPr>
        <w:t>roduct.</w:t>
      </w:r>
    </w:p>
    <w:p w14:paraId="55F62CBE" w14:textId="77777777" w:rsidR="00181CA9" w:rsidRPr="00A40B80" w:rsidRDefault="00181CA9" w:rsidP="00181CA9">
      <w:pPr>
        <w:spacing w:line="276" w:lineRule="auto"/>
        <w:ind w:left="-426" w:firstLine="142"/>
        <w:rPr>
          <w:rFonts w:asciiTheme="minorHAnsi" w:hAnsiTheme="minorHAnsi"/>
          <w:sz w:val="20"/>
          <w:szCs w:val="20"/>
          <w:lang w:val="en-GB"/>
        </w:rPr>
      </w:pPr>
    </w:p>
    <w:p w14:paraId="601F4EC9" w14:textId="77777777" w:rsidR="00181CA9" w:rsidRPr="00A40B80" w:rsidRDefault="00181CA9" w:rsidP="00181CA9">
      <w:pPr>
        <w:spacing w:line="276" w:lineRule="auto"/>
        <w:ind w:left="-426" w:firstLine="142"/>
        <w:rPr>
          <w:rFonts w:asciiTheme="minorHAnsi" w:hAnsiTheme="minorHAnsi"/>
          <w:b/>
          <w:bCs/>
          <w:sz w:val="20"/>
          <w:szCs w:val="20"/>
          <w:lang w:val="en-GB"/>
        </w:rPr>
      </w:pPr>
      <w:r w:rsidRPr="00A40B80">
        <w:rPr>
          <w:rFonts w:asciiTheme="minorHAnsi" w:hAnsiTheme="minorHAnsi"/>
          <w:b/>
          <w:bCs/>
          <w:sz w:val="20"/>
          <w:szCs w:val="20"/>
          <w:lang w:val="en-GB"/>
        </w:rPr>
        <w:t>Duration:</w:t>
      </w:r>
    </w:p>
    <w:p w14:paraId="215F50ED" w14:textId="77777777" w:rsidR="007B3D02" w:rsidRPr="00FA7338" w:rsidRDefault="007B3D02" w:rsidP="007B3D02">
      <w:pPr>
        <w:spacing w:line="276" w:lineRule="auto"/>
        <w:ind w:left="-284"/>
        <w:rPr>
          <w:rFonts w:asciiTheme="minorHAnsi" w:hAnsiTheme="minorHAnsi"/>
          <w:sz w:val="18"/>
          <w:szCs w:val="18"/>
          <w:lang w:val="en-GB"/>
        </w:rPr>
      </w:pPr>
      <w:r w:rsidRPr="00FA7338">
        <w:rPr>
          <w:rFonts w:asciiTheme="minorHAnsi" w:hAnsiTheme="minorHAnsi"/>
          <w:sz w:val="18"/>
          <w:szCs w:val="18"/>
          <w:lang w:val="en-GB"/>
        </w:rPr>
        <w:t>The warranty period is 36 months for the mechanical parts, starting from the moment the Product is first registered at the vehicle registration service, but max. 42 months after the production date of the Product.</w:t>
      </w:r>
    </w:p>
    <w:p w14:paraId="05411DB8" w14:textId="77777777" w:rsidR="00181CA9" w:rsidRPr="00A40B80" w:rsidRDefault="00181CA9" w:rsidP="00181CA9">
      <w:pPr>
        <w:spacing w:line="276" w:lineRule="auto"/>
        <w:ind w:left="-284"/>
        <w:rPr>
          <w:rFonts w:asciiTheme="minorHAnsi" w:hAnsiTheme="minorHAnsi"/>
          <w:sz w:val="18"/>
          <w:szCs w:val="18"/>
          <w:lang w:val="en-GB"/>
        </w:rPr>
      </w:pPr>
    </w:p>
    <w:p w14:paraId="5C6F854F" w14:textId="00B9C8AD" w:rsidR="002A3E55" w:rsidRPr="002A3E55" w:rsidRDefault="002A3E55" w:rsidP="004E4D78">
      <w:pPr>
        <w:spacing w:line="276" w:lineRule="auto"/>
        <w:ind w:left="-284"/>
        <w:rPr>
          <w:rFonts w:asciiTheme="minorHAnsi" w:hAnsiTheme="minorHAnsi"/>
          <w:sz w:val="18"/>
          <w:szCs w:val="18"/>
          <w:lang w:val="en-GB"/>
        </w:rPr>
      </w:pPr>
      <w:r w:rsidRPr="002A3E55">
        <w:rPr>
          <w:rFonts w:asciiTheme="minorHAnsi" w:hAnsiTheme="minorHAnsi"/>
          <w:sz w:val="18"/>
          <w:szCs w:val="18"/>
          <w:lang w:val="en-GB"/>
        </w:rPr>
        <w:t xml:space="preserve">The warranty period is 12 months for the electronic parts, </w:t>
      </w:r>
      <w:r w:rsidR="004E4D78" w:rsidRPr="00FA7338">
        <w:rPr>
          <w:rFonts w:asciiTheme="minorHAnsi" w:hAnsiTheme="minorHAnsi"/>
          <w:sz w:val="18"/>
          <w:szCs w:val="18"/>
          <w:lang w:val="en-GB"/>
        </w:rPr>
        <w:t>starting from the moment the Product is first registered at the vehicle registration service</w:t>
      </w:r>
      <w:r w:rsidRPr="002A3E55">
        <w:rPr>
          <w:rFonts w:asciiTheme="minorHAnsi" w:hAnsiTheme="minorHAnsi"/>
          <w:sz w:val="18"/>
          <w:szCs w:val="18"/>
          <w:lang w:val="en-GB"/>
        </w:rPr>
        <w:t xml:space="preserve">, but max. 18 months after the production date of the Product. </w:t>
      </w:r>
    </w:p>
    <w:p w14:paraId="18B18BAD" w14:textId="77777777" w:rsidR="00181CA9" w:rsidRPr="00A40B80" w:rsidRDefault="00181CA9" w:rsidP="00181CA9">
      <w:pPr>
        <w:spacing w:line="276" w:lineRule="auto"/>
        <w:ind w:left="-284"/>
        <w:rPr>
          <w:rFonts w:asciiTheme="minorHAnsi" w:hAnsiTheme="minorHAnsi"/>
          <w:sz w:val="18"/>
          <w:szCs w:val="18"/>
          <w:lang w:val="en-GB"/>
        </w:rPr>
      </w:pPr>
    </w:p>
    <w:p w14:paraId="6E482B9C" w14:textId="7B79F4F8" w:rsidR="00181CA9" w:rsidRPr="00A40B80" w:rsidRDefault="00181CA9" w:rsidP="00181CA9">
      <w:pPr>
        <w:spacing w:line="276" w:lineRule="auto"/>
        <w:ind w:left="-284"/>
        <w:rPr>
          <w:rFonts w:asciiTheme="minorHAnsi" w:hAnsiTheme="minorHAnsi"/>
          <w:sz w:val="18"/>
          <w:szCs w:val="18"/>
          <w:lang w:val="en-GB"/>
        </w:rPr>
      </w:pPr>
      <w:r w:rsidRPr="00A40B80">
        <w:rPr>
          <w:rFonts w:asciiTheme="minorHAnsi" w:hAnsiTheme="minorHAnsi"/>
          <w:sz w:val="18"/>
          <w:szCs w:val="18"/>
          <w:lang w:val="en-GB"/>
        </w:rPr>
        <w:t>The warranty period on batteries is limited to 6 months</w:t>
      </w:r>
      <w:r w:rsidR="00DD4490">
        <w:rPr>
          <w:rFonts w:asciiTheme="minorHAnsi" w:hAnsiTheme="minorHAnsi"/>
          <w:sz w:val="18"/>
          <w:szCs w:val="18"/>
          <w:lang w:val="en-GB"/>
        </w:rPr>
        <w:t xml:space="preserve">, </w:t>
      </w:r>
      <w:r w:rsidR="00DD4490" w:rsidRPr="00FA7338">
        <w:rPr>
          <w:rFonts w:asciiTheme="minorHAnsi" w:hAnsiTheme="minorHAnsi"/>
          <w:sz w:val="18"/>
          <w:szCs w:val="18"/>
          <w:lang w:val="en-GB"/>
        </w:rPr>
        <w:t>starting from the moment the Product is first registered at the vehicle registration service</w:t>
      </w:r>
      <w:r w:rsidR="00DD4490" w:rsidRPr="002A3E55">
        <w:rPr>
          <w:rFonts w:asciiTheme="minorHAnsi" w:hAnsiTheme="minorHAnsi"/>
          <w:sz w:val="18"/>
          <w:szCs w:val="18"/>
          <w:lang w:val="en-GB"/>
        </w:rPr>
        <w:t xml:space="preserve">, but max. </w:t>
      </w:r>
      <w:r w:rsidR="00DD4490">
        <w:rPr>
          <w:rFonts w:asciiTheme="minorHAnsi" w:hAnsiTheme="minorHAnsi"/>
          <w:sz w:val="18"/>
          <w:szCs w:val="18"/>
          <w:lang w:val="en-GB"/>
        </w:rPr>
        <w:t>12</w:t>
      </w:r>
      <w:r w:rsidR="00DD4490" w:rsidRPr="002A3E55">
        <w:rPr>
          <w:rFonts w:asciiTheme="minorHAnsi" w:hAnsiTheme="minorHAnsi"/>
          <w:sz w:val="18"/>
          <w:szCs w:val="18"/>
          <w:lang w:val="en-GB"/>
        </w:rPr>
        <w:t xml:space="preserve"> months after the production date of the Product.</w:t>
      </w:r>
    </w:p>
    <w:p w14:paraId="4E9E4243" w14:textId="77777777" w:rsidR="00181CA9" w:rsidRPr="00A40B80" w:rsidRDefault="00181CA9" w:rsidP="00181CA9">
      <w:pPr>
        <w:spacing w:line="276" w:lineRule="auto"/>
        <w:ind w:left="-284"/>
        <w:rPr>
          <w:rFonts w:asciiTheme="minorHAnsi" w:hAnsiTheme="minorHAnsi"/>
          <w:b/>
          <w:bCs/>
          <w:sz w:val="20"/>
          <w:szCs w:val="20"/>
          <w:lang w:val="en-GB"/>
        </w:rPr>
      </w:pPr>
    </w:p>
    <w:p w14:paraId="2860D138" w14:textId="77777777" w:rsidR="00181CA9" w:rsidRPr="00A40B80" w:rsidRDefault="00181CA9" w:rsidP="00181CA9">
      <w:pPr>
        <w:spacing w:line="276" w:lineRule="auto"/>
        <w:ind w:left="-284"/>
        <w:rPr>
          <w:rFonts w:asciiTheme="minorHAnsi" w:hAnsiTheme="minorHAnsi"/>
          <w:b/>
          <w:bCs/>
          <w:sz w:val="20"/>
          <w:szCs w:val="20"/>
          <w:lang w:val="en-GB"/>
        </w:rPr>
      </w:pPr>
      <w:r w:rsidRPr="00A40B80">
        <w:rPr>
          <w:rFonts w:asciiTheme="minorHAnsi" w:hAnsiTheme="minorHAnsi"/>
          <w:b/>
          <w:bCs/>
          <w:sz w:val="20"/>
          <w:szCs w:val="20"/>
          <w:lang w:val="en-GB"/>
        </w:rPr>
        <w:t>Conditions:</w:t>
      </w:r>
    </w:p>
    <w:p w14:paraId="254712C2" w14:textId="77777777" w:rsidR="00181CA9" w:rsidRPr="00A40B80" w:rsidRDefault="00181CA9" w:rsidP="00181CA9">
      <w:pPr>
        <w:pStyle w:val="Lijstalinea"/>
        <w:numPr>
          <w:ilvl w:val="0"/>
          <w:numId w:val="4"/>
        </w:numPr>
        <w:spacing w:line="276" w:lineRule="auto"/>
        <w:ind w:left="-284" w:firstLine="0"/>
        <w:rPr>
          <w:rFonts w:asciiTheme="minorHAnsi" w:hAnsiTheme="minorHAnsi"/>
          <w:sz w:val="18"/>
          <w:szCs w:val="18"/>
          <w:lang w:val="en-GB"/>
        </w:rPr>
      </w:pPr>
      <w:r w:rsidRPr="00A40B80">
        <w:rPr>
          <w:rFonts w:asciiTheme="minorHAnsi" w:hAnsiTheme="minorHAnsi"/>
          <w:sz w:val="18"/>
          <w:szCs w:val="18"/>
          <w:lang w:val="en-GB"/>
        </w:rPr>
        <w:t>The vehicle is equipped with a VALX recommended product.</w:t>
      </w:r>
    </w:p>
    <w:p w14:paraId="32A765E8" w14:textId="77777777" w:rsidR="00181CA9" w:rsidRPr="00A40B80" w:rsidRDefault="00181CA9" w:rsidP="00181CA9">
      <w:pPr>
        <w:pStyle w:val="Lijstalinea"/>
        <w:numPr>
          <w:ilvl w:val="0"/>
          <w:numId w:val="4"/>
        </w:numPr>
        <w:spacing w:line="276" w:lineRule="auto"/>
        <w:ind w:left="-284" w:firstLine="0"/>
        <w:rPr>
          <w:rFonts w:asciiTheme="minorHAnsi" w:hAnsiTheme="minorHAnsi"/>
          <w:sz w:val="18"/>
          <w:szCs w:val="18"/>
          <w:lang w:val="en-GB"/>
        </w:rPr>
      </w:pPr>
      <w:r w:rsidRPr="00A40B80">
        <w:rPr>
          <w:rFonts w:asciiTheme="minorHAnsi" w:hAnsiTheme="minorHAnsi"/>
          <w:sz w:val="18"/>
          <w:szCs w:val="18"/>
          <w:lang w:val="en-GB"/>
        </w:rPr>
        <w:t>The vehicle is not used in earthmoving, racing or military applications.</w:t>
      </w:r>
    </w:p>
    <w:p w14:paraId="1C29C19E" w14:textId="77777777" w:rsidR="00262B6E" w:rsidRPr="00262B6E" w:rsidRDefault="00262B6E" w:rsidP="00262B6E">
      <w:pPr>
        <w:pStyle w:val="Lijstalinea"/>
        <w:numPr>
          <w:ilvl w:val="0"/>
          <w:numId w:val="4"/>
        </w:numPr>
        <w:spacing w:line="276" w:lineRule="auto"/>
        <w:ind w:left="0" w:hanging="284"/>
        <w:rPr>
          <w:rFonts w:asciiTheme="minorHAnsi" w:hAnsiTheme="minorHAnsi"/>
          <w:sz w:val="18"/>
          <w:szCs w:val="18"/>
          <w:lang w:val="en-GB"/>
        </w:rPr>
      </w:pPr>
      <w:r w:rsidRPr="00262B6E">
        <w:rPr>
          <w:rFonts w:asciiTheme="minorHAnsi" w:hAnsiTheme="minorHAnsi"/>
          <w:sz w:val="18"/>
          <w:szCs w:val="18"/>
          <w:lang w:val="en-GB"/>
        </w:rPr>
        <w:t>The Product must be equipped, repaired and maintained exclusively with original VALX (spare) parts or parts that have received prior written approval from VALX for this specific purpose.</w:t>
      </w:r>
    </w:p>
    <w:p w14:paraId="15F49D3E" w14:textId="7771DFC5" w:rsidR="00BA0A40" w:rsidRPr="00BA0A40" w:rsidRDefault="00BA0A40" w:rsidP="00BA0A40">
      <w:pPr>
        <w:pStyle w:val="Lijstalinea"/>
        <w:numPr>
          <w:ilvl w:val="0"/>
          <w:numId w:val="4"/>
        </w:numPr>
        <w:spacing w:line="276" w:lineRule="auto"/>
        <w:ind w:left="0" w:hanging="284"/>
        <w:rPr>
          <w:rFonts w:asciiTheme="minorHAnsi" w:hAnsiTheme="minorHAnsi"/>
          <w:sz w:val="18"/>
          <w:szCs w:val="18"/>
          <w:lang w:val="en-GB"/>
        </w:rPr>
      </w:pPr>
      <w:r w:rsidRPr="00BA0A40">
        <w:rPr>
          <w:rFonts w:asciiTheme="minorHAnsi" w:hAnsiTheme="minorHAnsi"/>
          <w:sz w:val="18"/>
          <w:szCs w:val="18"/>
          <w:lang w:val="en-GB"/>
        </w:rPr>
        <w:t xml:space="preserve">The vehicle owner or the Workshop must perform all maintenance and repairs on the Product in accordance with VALX maintenance guidelines, and maintain accurate </w:t>
      </w:r>
      <w:r w:rsidR="00DD4490">
        <w:rPr>
          <w:rFonts w:asciiTheme="minorHAnsi" w:hAnsiTheme="minorHAnsi"/>
          <w:sz w:val="18"/>
          <w:szCs w:val="18"/>
          <w:lang w:val="en-GB"/>
        </w:rPr>
        <w:t>r</w:t>
      </w:r>
      <w:r w:rsidRPr="00BA0A40">
        <w:rPr>
          <w:rFonts w:asciiTheme="minorHAnsi" w:hAnsiTheme="minorHAnsi"/>
          <w:sz w:val="18"/>
          <w:szCs w:val="18"/>
          <w:lang w:val="en-GB"/>
        </w:rPr>
        <w:t>ecords of all such activities. This record should be shared with VALX when asked for.</w:t>
      </w:r>
    </w:p>
    <w:p w14:paraId="3AAE4004" w14:textId="77777777" w:rsidR="00181CA9" w:rsidRPr="00A40B80" w:rsidRDefault="00181CA9" w:rsidP="00181CA9">
      <w:pPr>
        <w:spacing w:line="276" w:lineRule="auto"/>
        <w:ind w:left="-426"/>
        <w:rPr>
          <w:rFonts w:asciiTheme="minorHAnsi" w:hAnsiTheme="minorHAnsi"/>
          <w:sz w:val="20"/>
          <w:szCs w:val="20"/>
          <w:lang w:val="en-GB"/>
        </w:rPr>
      </w:pPr>
    </w:p>
    <w:p w14:paraId="49DABD7B" w14:textId="77777777" w:rsidR="00181CA9" w:rsidRPr="00A40B80" w:rsidRDefault="00181CA9" w:rsidP="00181CA9">
      <w:pPr>
        <w:spacing w:line="276" w:lineRule="auto"/>
        <w:ind w:left="-284"/>
        <w:rPr>
          <w:rFonts w:asciiTheme="minorHAnsi" w:hAnsiTheme="minorHAnsi"/>
          <w:b/>
          <w:bCs/>
          <w:sz w:val="20"/>
          <w:szCs w:val="20"/>
          <w:lang w:val="en-GB"/>
        </w:rPr>
      </w:pPr>
      <w:r w:rsidRPr="00A40B80">
        <w:rPr>
          <w:rFonts w:asciiTheme="minorHAnsi" w:hAnsiTheme="minorHAnsi"/>
          <w:b/>
          <w:bCs/>
          <w:sz w:val="20"/>
          <w:szCs w:val="20"/>
          <w:lang w:val="en-GB"/>
        </w:rPr>
        <w:t>Exclusions:</w:t>
      </w:r>
    </w:p>
    <w:p w14:paraId="31DE80D4" w14:textId="00F610BA" w:rsidR="00051BF2" w:rsidRPr="00051BF2" w:rsidRDefault="00051BF2" w:rsidP="00051BF2">
      <w:pPr>
        <w:numPr>
          <w:ilvl w:val="0"/>
          <w:numId w:val="5"/>
        </w:numPr>
        <w:spacing w:after="160" w:line="276" w:lineRule="auto"/>
        <w:ind w:left="-284" w:firstLine="0"/>
        <w:contextualSpacing/>
        <w:rPr>
          <w:rFonts w:asciiTheme="minorHAnsi" w:eastAsiaTheme="minorHAnsi" w:hAnsiTheme="minorHAnsi" w:cstheme="minorBidi"/>
          <w:b/>
          <w:bCs/>
          <w:kern w:val="2"/>
          <w:sz w:val="18"/>
          <w:szCs w:val="18"/>
          <w:lang w:val="en-GB" w:eastAsia="en-US"/>
          <w14:ligatures w14:val="standardContextual"/>
        </w:rPr>
      </w:pPr>
      <w:r w:rsidRPr="00051BF2">
        <w:rPr>
          <w:rFonts w:asciiTheme="minorHAnsi" w:eastAsiaTheme="minorHAnsi" w:hAnsiTheme="minorHAnsi" w:cstheme="minorBidi"/>
          <w:kern w:val="2"/>
          <w:sz w:val="18"/>
          <w:szCs w:val="18"/>
          <w:lang w:val="en-GB" w:eastAsia="en-US"/>
          <w14:ligatures w14:val="standardContextual"/>
        </w:rPr>
        <w:t>Normal wear and tear.</w:t>
      </w:r>
    </w:p>
    <w:p w14:paraId="40011989" w14:textId="77777777" w:rsidR="00051BF2" w:rsidRPr="00051BF2" w:rsidRDefault="00051BF2" w:rsidP="00051BF2">
      <w:pPr>
        <w:numPr>
          <w:ilvl w:val="0"/>
          <w:numId w:val="5"/>
        </w:numPr>
        <w:spacing w:after="160" w:line="276" w:lineRule="auto"/>
        <w:ind w:left="-284" w:firstLine="0"/>
        <w:contextualSpacing/>
        <w:rPr>
          <w:rFonts w:asciiTheme="minorHAnsi" w:eastAsiaTheme="minorHAnsi" w:hAnsiTheme="minorHAnsi" w:cstheme="minorBidi"/>
          <w:b/>
          <w:bCs/>
          <w:kern w:val="2"/>
          <w:sz w:val="18"/>
          <w:szCs w:val="18"/>
          <w:lang w:val="en-GB" w:eastAsia="en-US"/>
          <w14:ligatures w14:val="standardContextual"/>
        </w:rPr>
      </w:pPr>
      <w:r w:rsidRPr="00051BF2">
        <w:rPr>
          <w:rFonts w:asciiTheme="minorHAnsi" w:eastAsiaTheme="minorHAnsi" w:hAnsiTheme="minorHAnsi" w:cstheme="minorBidi"/>
          <w:kern w:val="2"/>
          <w:sz w:val="18"/>
          <w:szCs w:val="18"/>
          <w:lang w:val="en-GB" w:eastAsia="en-US"/>
          <w14:ligatures w14:val="standardContextual"/>
        </w:rPr>
        <w:t>Damage to the product caused by:</w:t>
      </w:r>
    </w:p>
    <w:p w14:paraId="053D726B" w14:textId="77777777" w:rsidR="00051BF2" w:rsidRPr="00051BF2" w:rsidRDefault="00051BF2" w:rsidP="00051BF2">
      <w:pPr>
        <w:numPr>
          <w:ilvl w:val="0"/>
          <w:numId w:val="8"/>
        </w:numPr>
        <w:tabs>
          <w:tab w:val="left" w:pos="284"/>
        </w:tabs>
        <w:spacing w:after="160" w:line="276" w:lineRule="auto"/>
        <w:ind w:left="-284" w:firstLine="284"/>
        <w:contextualSpacing/>
        <w:rPr>
          <w:rFonts w:asciiTheme="minorHAnsi" w:eastAsiaTheme="minorHAnsi" w:hAnsiTheme="minorHAnsi" w:cstheme="minorBidi"/>
          <w:kern w:val="2"/>
          <w:sz w:val="18"/>
          <w:szCs w:val="18"/>
          <w:lang w:val="en-GB" w:eastAsia="en-US"/>
          <w14:ligatures w14:val="standardContextual"/>
        </w:rPr>
      </w:pPr>
      <w:r w:rsidRPr="00051BF2">
        <w:rPr>
          <w:rFonts w:asciiTheme="minorHAnsi" w:eastAsiaTheme="minorHAnsi" w:hAnsiTheme="minorHAnsi" w:cstheme="minorBidi"/>
          <w:kern w:val="2"/>
          <w:sz w:val="18"/>
          <w:szCs w:val="18"/>
          <w:lang w:val="en-GB" w:eastAsia="en-US"/>
          <w14:ligatures w14:val="standardContextual"/>
        </w:rPr>
        <w:t>accident or other extreme force;</w:t>
      </w:r>
    </w:p>
    <w:p w14:paraId="215B1797" w14:textId="77777777" w:rsidR="00051BF2" w:rsidRPr="00051BF2" w:rsidRDefault="00051BF2" w:rsidP="00051BF2">
      <w:pPr>
        <w:numPr>
          <w:ilvl w:val="0"/>
          <w:numId w:val="8"/>
        </w:numPr>
        <w:tabs>
          <w:tab w:val="left" w:pos="284"/>
        </w:tabs>
        <w:spacing w:after="160" w:line="276" w:lineRule="auto"/>
        <w:ind w:left="0" w:firstLine="0"/>
        <w:contextualSpacing/>
        <w:rPr>
          <w:rFonts w:asciiTheme="minorHAnsi" w:eastAsiaTheme="minorHAnsi" w:hAnsiTheme="minorHAnsi" w:cstheme="minorBidi"/>
          <w:kern w:val="2"/>
          <w:sz w:val="18"/>
          <w:szCs w:val="18"/>
          <w:lang w:val="en-GB" w:eastAsia="en-US"/>
          <w14:ligatures w14:val="standardContextual"/>
        </w:rPr>
      </w:pPr>
      <w:r w:rsidRPr="00051BF2">
        <w:rPr>
          <w:rFonts w:asciiTheme="minorHAnsi" w:eastAsiaTheme="minorHAnsi" w:hAnsiTheme="minorHAnsi" w:cstheme="minorBidi"/>
          <w:kern w:val="2"/>
          <w:sz w:val="18"/>
          <w:szCs w:val="18"/>
          <w:lang w:val="en-GB" w:eastAsia="en-US"/>
          <w14:ligatures w14:val="standardContextual"/>
        </w:rPr>
        <w:t>not observing the operating-, maintenance- and/or installation instructions;</w:t>
      </w:r>
    </w:p>
    <w:p w14:paraId="3EA4AF7B" w14:textId="77777777" w:rsidR="00051BF2" w:rsidRPr="00051BF2" w:rsidRDefault="00051BF2" w:rsidP="00051BF2">
      <w:pPr>
        <w:numPr>
          <w:ilvl w:val="0"/>
          <w:numId w:val="8"/>
        </w:numPr>
        <w:tabs>
          <w:tab w:val="left" w:pos="284"/>
        </w:tabs>
        <w:spacing w:after="160" w:line="276" w:lineRule="auto"/>
        <w:ind w:left="0" w:firstLine="0"/>
        <w:contextualSpacing/>
        <w:rPr>
          <w:rFonts w:asciiTheme="minorHAnsi" w:eastAsiaTheme="minorHAnsi" w:hAnsiTheme="minorHAnsi" w:cstheme="minorBidi"/>
          <w:kern w:val="2"/>
          <w:sz w:val="18"/>
          <w:szCs w:val="18"/>
          <w:lang w:val="en-GB" w:eastAsia="en-US"/>
          <w14:ligatures w14:val="standardContextual"/>
        </w:rPr>
      </w:pPr>
      <w:r w:rsidRPr="00051BF2">
        <w:rPr>
          <w:rFonts w:asciiTheme="minorHAnsi" w:eastAsiaTheme="minorHAnsi" w:hAnsiTheme="minorHAnsi" w:cstheme="minorBidi"/>
          <w:kern w:val="2"/>
          <w:sz w:val="18"/>
          <w:szCs w:val="18"/>
          <w:lang w:val="en-GB" w:eastAsia="en-US"/>
          <w14:ligatures w14:val="standardContextual"/>
        </w:rPr>
        <w:t>modifications to the product that were not authorized by VALX;</w:t>
      </w:r>
    </w:p>
    <w:p w14:paraId="4EECE14B" w14:textId="77777777" w:rsidR="00051BF2" w:rsidRPr="00051BF2" w:rsidRDefault="00051BF2" w:rsidP="00051BF2">
      <w:pPr>
        <w:numPr>
          <w:ilvl w:val="0"/>
          <w:numId w:val="8"/>
        </w:numPr>
        <w:tabs>
          <w:tab w:val="left" w:pos="284"/>
        </w:tabs>
        <w:spacing w:after="160" w:line="276" w:lineRule="auto"/>
        <w:ind w:left="0" w:firstLine="0"/>
        <w:contextualSpacing/>
        <w:rPr>
          <w:rFonts w:asciiTheme="minorHAnsi" w:eastAsiaTheme="minorHAnsi" w:hAnsiTheme="minorHAnsi" w:cstheme="minorBidi"/>
          <w:kern w:val="2"/>
          <w:sz w:val="18"/>
          <w:szCs w:val="18"/>
          <w:lang w:val="en-GB" w:eastAsia="en-US"/>
          <w14:ligatures w14:val="standardContextual"/>
        </w:rPr>
      </w:pPr>
      <w:r w:rsidRPr="00051BF2">
        <w:rPr>
          <w:rFonts w:asciiTheme="minorHAnsi" w:eastAsiaTheme="minorHAnsi" w:hAnsiTheme="minorHAnsi" w:cstheme="minorBidi"/>
          <w:kern w:val="2"/>
          <w:sz w:val="18"/>
          <w:szCs w:val="18"/>
          <w:lang w:val="en-GB" w:eastAsia="en-US"/>
          <w14:ligatures w14:val="standardContextual"/>
        </w:rPr>
        <w:t>improper or impermissible use of the Product.</w:t>
      </w:r>
    </w:p>
    <w:p w14:paraId="33C5C4A2" w14:textId="77777777" w:rsidR="00051BF2" w:rsidRPr="00051BF2" w:rsidRDefault="00051BF2" w:rsidP="00051BF2">
      <w:pPr>
        <w:numPr>
          <w:ilvl w:val="0"/>
          <w:numId w:val="5"/>
        </w:numPr>
        <w:spacing w:after="160" w:line="276" w:lineRule="auto"/>
        <w:ind w:left="-284" w:firstLine="0"/>
        <w:contextualSpacing/>
        <w:rPr>
          <w:rFonts w:asciiTheme="minorHAnsi" w:eastAsiaTheme="minorHAnsi" w:hAnsiTheme="minorHAnsi" w:cstheme="minorBidi"/>
          <w:b/>
          <w:bCs/>
          <w:kern w:val="2"/>
          <w:sz w:val="18"/>
          <w:szCs w:val="18"/>
          <w:lang w:val="en-GB" w:eastAsia="en-US"/>
          <w14:ligatures w14:val="standardContextual"/>
        </w:rPr>
      </w:pPr>
      <w:r w:rsidRPr="00051BF2">
        <w:rPr>
          <w:rFonts w:asciiTheme="minorHAnsi" w:eastAsiaTheme="minorHAnsi" w:hAnsiTheme="minorHAnsi" w:cstheme="minorBidi"/>
          <w:kern w:val="2"/>
          <w:sz w:val="18"/>
          <w:szCs w:val="18"/>
          <w:lang w:val="en-GB" w:eastAsia="en-US"/>
          <w14:ligatures w14:val="standardContextual"/>
        </w:rPr>
        <w:t>Any consequential or subsequent damage arising from failure of the Product is explicitly excluded from warranty coverage.</w:t>
      </w:r>
    </w:p>
    <w:p w14:paraId="049A0908" w14:textId="77777777" w:rsidR="00181CA9" w:rsidRPr="00A40B80" w:rsidRDefault="00181CA9" w:rsidP="00181CA9">
      <w:pPr>
        <w:spacing w:line="276" w:lineRule="auto"/>
        <w:ind w:left="-284"/>
        <w:rPr>
          <w:rFonts w:asciiTheme="minorHAnsi" w:hAnsiTheme="minorHAnsi"/>
          <w:sz w:val="20"/>
          <w:szCs w:val="20"/>
          <w:lang w:val="en-GB"/>
        </w:rPr>
      </w:pPr>
    </w:p>
    <w:p w14:paraId="24592E4E" w14:textId="77777777" w:rsidR="00181CA9" w:rsidRPr="00A40B80" w:rsidRDefault="00181CA9" w:rsidP="00181CA9">
      <w:pPr>
        <w:spacing w:line="276" w:lineRule="auto"/>
        <w:ind w:left="-284"/>
        <w:rPr>
          <w:rFonts w:asciiTheme="minorHAnsi" w:hAnsiTheme="minorHAnsi"/>
          <w:sz w:val="20"/>
          <w:szCs w:val="20"/>
          <w:lang w:val="en-GB"/>
        </w:rPr>
      </w:pPr>
    </w:p>
    <w:p w14:paraId="0C523B3C" w14:textId="77777777" w:rsidR="00181CA9" w:rsidRPr="00A40B80" w:rsidRDefault="00181CA9" w:rsidP="00181CA9">
      <w:pPr>
        <w:spacing w:line="276" w:lineRule="auto"/>
        <w:ind w:left="-284"/>
        <w:rPr>
          <w:rFonts w:asciiTheme="minorHAnsi" w:hAnsiTheme="minorHAnsi"/>
          <w:sz w:val="20"/>
          <w:szCs w:val="20"/>
          <w:lang w:val="en-GB"/>
        </w:rPr>
      </w:pPr>
    </w:p>
    <w:p w14:paraId="49B7188E" w14:textId="77777777" w:rsidR="00181CA9" w:rsidRPr="00A40B80" w:rsidRDefault="00181CA9" w:rsidP="00181CA9">
      <w:pPr>
        <w:spacing w:line="276" w:lineRule="auto"/>
        <w:ind w:left="-284"/>
        <w:rPr>
          <w:rFonts w:asciiTheme="minorHAnsi" w:hAnsiTheme="minorHAnsi"/>
          <w:sz w:val="20"/>
          <w:szCs w:val="20"/>
          <w:lang w:val="en-GB"/>
        </w:rPr>
      </w:pPr>
    </w:p>
    <w:p w14:paraId="1035DC6D" w14:textId="77777777" w:rsidR="00181CA9" w:rsidRDefault="00181CA9" w:rsidP="00181CA9">
      <w:pPr>
        <w:spacing w:line="276" w:lineRule="auto"/>
        <w:ind w:left="-284"/>
        <w:rPr>
          <w:rFonts w:asciiTheme="minorHAnsi" w:hAnsiTheme="minorHAnsi"/>
          <w:sz w:val="20"/>
          <w:szCs w:val="20"/>
          <w:lang w:val="en-GB"/>
        </w:rPr>
      </w:pPr>
    </w:p>
    <w:p w14:paraId="4D602A26" w14:textId="77777777" w:rsidR="00D646DE" w:rsidRDefault="00D646DE" w:rsidP="00181CA9">
      <w:pPr>
        <w:spacing w:line="276" w:lineRule="auto"/>
        <w:ind w:left="-284"/>
        <w:rPr>
          <w:rFonts w:asciiTheme="minorHAnsi" w:hAnsiTheme="minorHAnsi"/>
          <w:sz w:val="20"/>
          <w:szCs w:val="20"/>
          <w:lang w:val="en-GB"/>
        </w:rPr>
      </w:pPr>
    </w:p>
    <w:p w14:paraId="4A00C257" w14:textId="77777777" w:rsidR="00D646DE" w:rsidRPr="00A40B80" w:rsidRDefault="00D646DE" w:rsidP="00181CA9">
      <w:pPr>
        <w:spacing w:line="276" w:lineRule="auto"/>
        <w:ind w:left="-284"/>
        <w:rPr>
          <w:rFonts w:asciiTheme="minorHAnsi" w:hAnsiTheme="minorHAnsi"/>
          <w:sz w:val="20"/>
          <w:szCs w:val="20"/>
          <w:lang w:val="en-GB"/>
        </w:rPr>
      </w:pPr>
    </w:p>
    <w:p w14:paraId="7D55F718" w14:textId="77777777" w:rsidR="00181CA9" w:rsidRPr="00A40B80" w:rsidRDefault="00181CA9" w:rsidP="00181CA9">
      <w:pPr>
        <w:spacing w:line="276" w:lineRule="auto"/>
        <w:ind w:left="-284"/>
        <w:rPr>
          <w:rFonts w:asciiTheme="minorHAnsi" w:hAnsiTheme="minorHAnsi"/>
          <w:sz w:val="20"/>
          <w:szCs w:val="20"/>
          <w:lang w:val="en-GB"/>
        </w:rPr>
      </w:pPr>
    </w:p>
    <w:p w14:paraId="747799A0" w14:textId="77777777" w:rsidR="00B17E6D" w:rsidRPr="00B17E6D" w:rsidRDefault="00B17E6D" w:rsidP="00B17E6D">
      <w:pPr>
        <w:spacing w:line="276" w:lineRule="auto"/>
        <w:ind w:left="-284"/>
        <w:rPr>
          <w:rFonts w:asciiTheme="minorHAnsi" w:eastAsiaTheme="minorHAnsi" w:hAnsiTheme="minorHAnsi" w:cstheme="minorBidi"/>
          <w:b/>
          <w:bCs/>
          <w:kern w:val="2"/>
          <w:sz w:val="20"/>
          <w:szCs w:val="20"/>
          <w:lang w:val="en-GB" w:eastAsia="en-US"/>
          <w14:ligatures w14:val="standardContextual"/>
        </w:rPr>
      </w:pPr>
      <w:r w:rsidRPr="00B17E6D">
        <w:rPr>
          <w:rFonts w:asciiTheme="minorHAnsi" w:eastAsiaTheme="minorHAnsi" w:hAnsiTheme="minorHAnsi" w:cstheme="minorBidi"/>
          <w:b/>
          <w:bCs/>
          <w:kern w:val="2"/>
          <w:sz w:val="20"/>
          <w:szCs w:val="20"/>
          <w:lang w:val="en-GB" w:eastAsia="en-US"/>
          <w14:ligatures w14:val="standardContextual"/>
        </w:rPr>
        <w:lastRenderedPageBreak/>
        <w:t>Procedural conventions:</w:t>
      </w:r>
    </w:p>
    <w:p w14:paraId="2B4D752E" w14:textId="77777777" w:rsidR="00B17E6D" w:rsidRPr="00B17E6D" w:rsidRDefault="00B17E6D" w:rsidP="00B17E6D">
      <w:pPr>
        <w:numPr>
          <w:ilvl w:val="0"/>
          <w:numId w:val="5"/>
        </w:numPr>
        <w:spacing w:after="160" w:line="278" w:lineRule="auto"/>
        <w:ind w:left="0" w:hanging="284"/>
        <w:contextualSpacing/>
        <w:rPr>
          <w:rFonts w:asciiTheme="minorHAnsi" w:eastAsiaTheme="minorHAnsi" w:hAnsiTheme="minorHAnsi" w:cstheme="minorBidi"/>
          <w:kern w:val="2"/>
          <w:sz w:val="18"/>
          <w:szCs w:val="18"/>
          <w:lang w:val="en-GB" w:eastAsia="en-US"/>
          <w14:ligatures w14:val="standardContextual"/>
        </w:rPr>
      </w:pPr>
      <w:r w:rsidRPr="00B17E6D">
        <w:rPr>
          <w:rFonts w:asciiTheme="minorHAnsi" w:eastAsiaTheme="minorHAnsi" w:hAnsiTheme="minorHAnsi" w:cstheme="minorBidi"/>
          <w:kern w:val="2"/>
          <w:sz w:val="18"/>
          <w:szCs w:val="18"/>
          <w:lang w:val="en-GB" w:eastAsia="en-US"/>
          <w14:ligatures w14:val="standardContextual"/>
        </w:rPr>
        <w:t>In case of a warranty claim, the customer or the Workshop must first notify the vehicle manufacturer, following the procedures and guidelines established by the vehicle manufacturer.</w:t>
      </w:r>
    </w:p>
    <w:p w14:paraId="55952879" w14:textId="7FF2114D" w:rsidR="00B17E6D" w:rsidRPr="00B17E6D" w:rsidRDefault="008664DB" w:rsidP="00B17E6D">
      <w:pPr>
        <w:numPr>
          <w:ilvl w:val="0"/>
          <w:numId w:val="5"/>
        </w:numPr>
        <w:spacing w:after="160" w:line="278" w:lineRule="auto"/>
        <w:ind w:left="0" w:hanging="284"/>
        <w:contextualSpacing/>
        <w:rPr>
          <w:rFonts w:asciiTheme="minorHAnsi" w:eastAsiaTheme="minorHAnsi" w:hAnsiTheme="minorHAnsi" w:cstheme="minorBidi"/>
          <w:kern w:val="2"/>
          <w:sz w:val="18"/>
          <w:szCs w:val="18"/>
          <w:lang w:val="en-GB" w:eastAsia="en-US"/>
          <w14:ligatures w14:val="standardContextual"/>
        </w:rPr>
      </w:pPr>
      <w:r>
        <w:rPr>
          <w:rFonts w:asciiTheme="minorHAnsi" w:eastAsiaTheme="minorHAnsi" w:hAnsiTheme="minorHAnsi" w:cstheme="minorBidi"/>
          <w:kern w:val="2"/>
          <w:sz w:val="18"/>
          <w:szCs w:val="18"/>
          <w:lang w:val="en-GB" w:eastAsia="en-US"/>
          <w14:ligatures w14:val="standardContextual"/>
        </w:rPr>
        <w:t>T</w:t>
      </w:r>
      <w:r w:rsidR="00B17E6D" w:rsidRPr="00B17E6D">
        <w:rPr>
          <w:rFonts w:asciiTheme="minorHAnsi" w:eastAsiaTheme="minorHAnsi" w:hAnsiTheme="minorHAnsi" w:cstheme="minorBidi"/>
          <w:kern w:val="2"/>
          <w:sz w:val="18"/>
          <w:szCs w:val="18"/>
          <w:lang w:val="en-GB" w:eastAsia="en-US"/>
          <w14:ligatures w14:val="standardContextual"/>
        </w:rPr>
        <w:t xml:space="preserve">he vehicle manufacturer, the customer or the Workshop must notify VALX of the warranty claim within two  working days of discovering the failure. Notification should be made by e-mail and must include a fully completed Service Case Registration Form </w:t>
      </w:r>
      <w:r w:rsidR="00C57047">
        <w:rPr>
          <w:rFonts w:asciiTheme="minorHAnsi" w:eastAsiaTheme="minorHAnsi" w:hAnsiTheme="minorHAnsi" w:cstheme="minorBidi"/>
          <w:kern w:val="2"/>
          <w:sz w:val="18"/>
          <w:szCs w:val="18"/>
          <w:lang w:val="en-GB" w:eastAsia="en-US"/>
          <w14:ligatures w14:val="standardContextual"/>
        </w:rPr>
        <w:t>l</w:t>
      </w:r>
      <w:r w:rsidR="002F62A9">
        <w:rPr>
          <w:rFonts w:asciiTheme="minorHAnsi" w:eastAsiaTheme="minorHAnsi" w:hAnsiTheme="minorHAnsi" w:cstheme="minorBidi"/>
          <w:kern w:val="2"/>
          <w:sz w:val="18"/>
          <w:szCs w:val="18"/>
          <w:lang w:val="en-GB" w:eastAsia="en-US"/>
          <w14:ligatures w14:val="standardContextual"/>
        </w:rPr>
        <w:t xml:space="preserve">anding </w:t>
      </w:r>
      <w:r w:rsidR="00C57047">
        <w:rPr>
          <w:rFonts w:asciiTheme="minorHAnsi" w:eastAsiaTheme="minorHAnsi" w:hAnsiTheme="minorHAnsi" w:cstheme="minorBidi"/>
          <w:kern w:val="2"/>
          <w:sz w:val="18"/>
          <w:szCs w:val="18"/>
          <w:lang w:val="en-GB" w:eastAsia="en-US"/>
          <w14:ligatures w14:val="standardContextual"/>
        </w:rPr>
        <w:t>legs</w:t>
      </w:r>
      <w:r w:rsidR="00B17E6D" w:rsidRPr="00B17E6D">
        <w:rPr>
          <w:rFonts w:asciiTheme="minorHAnsi" w:eastAsiaTheme="minorHAnsi" w:hAnsiTheme="minorHAnsi" w:cstheme="minorBidi"/>
          <w:kern w:val="2"/>
          <w:sz w:val="18"/>
          <w:szCs w:val="18"/>
          <w:lang w:val="en-GB" w:eastAsia="en-US"/>
          <w14:ligatures w14:val="standardContextual"/>
        </w:rPr>
        <w:t xml:space="preserve">. </w:t>
      </w:r>
    </w:p>
    <w:p w14:paraId="563E7DBA" w14:textId="77777777" w:rsidR="00B17E6D" w:rsidRPr="00B17E6D" w:rsidRDefault="00B17E6D" w:rsidP="00B17E6D">
      <w:pPr>
        <w:numPr>
          <w:ilvl w:val="0"/>
          <w:numId w:val="5"/>
        </w:numPr>
        <w:spacing w:after="160" w:line="276" w:lineRule="auto"/>
        <w:ind w:left="-284" w:firstLine="0"/>
        <w:contextualSpacing/>
        <w:rPr>
          <w:rFonts w:asciiTheme="minorHAnsi" w:eastAsiaTheme="minorHAnsi" w:hAnsiTheme="minorHAnsi" w:cstheme="minorBidi"/>
          <w:kern w:val="2"/>
          <w:sz w:val="18"/>
          <w:szCs w:val="18"/>
          <w:lang w:val="en-US" w:eastAsia="en-US"/>
          <w14:ligatures w14:val="standardContextual"/>
        </w:rPr>
      </w:pPr>
      <w:r w:rsidRPr="00B17E6D">
        <w:rPr>
          <w:rFonts w:asciiTheme="minorHAnsi" w:eastAsiaTheme="minorHAnsi" w:hAnsiTheme="minorHAnsi" w:cstheme="minorBidi"/>
          <w:kern w:val="2"/>
          <w:sz w:val="18"/>
          <w:szCs w:val="18"/>
          <w:lang w:val="en-GB" w:eastAsia="en-US"/>
          <w14:ligatures w14:val="standardContextual"/>
        </w:rPr>
        <w:t xml:space="preserve">The customer or the Workshop must offer VALX the opportunity to inspect the vehicle and/or the damaged parts. VALX will </w:t>
      </w:r>
    </w:p>
    <w:p w14:paraId="366A2542" w14:textId="77777777" w:rsidR="00B17E6D" w:rsidRPr="00B17E6D" w:rsidRDefault="00B17E6D" w:rsidP="00B17E6D">
      <w:pPr>
        <w:spacing w:after="160" w:line="278" w:lineRule="auto"/>
        <w:contextualSpacing/>
        <w:rPr>
          <w:rFonts w:asciiTheme="minorHAnsi" w:eastAsiaTheme="minorHAnsi" w:hAnsiTheme="minorHAnsi" w:cstheme="minorBidi"/>
          <w:kern w:val="2"/>
          <w:sz w:val="18"/>
          <w:szCs w:val="18"/>
          <w:lang w:val="en-GB" w:eastAsia="en-US"/>
          <w14:ligatures w14:val="standardContextual"/>
        </w:rPr>
      </w:pPr>
      <w:r w:rsidRPr="00B17E6D">
        <w:rPr>
          <w:rFonts w:asciiTheme="minorHAnsi" w:eastAsiaTheme="minorHAnsi" w:hAnsiTheme="minorHAnsi" w:cstheme="minorBidi"/>
          <w:kern w:val="2"/>
          <w:sz w:val="18"/>
          <w:szCs w:val="18"/>
          <w:lang w:val="en-US" w:eastAsia="en-US"/>
          <w14:ligatures w14:val="standardContextual"/>
        </w:rPr>
        <w:t xml:space="preserve">acknowledge receipt </w:t>
      </w:r>
      <w:r w:rsidRPr="00B17E6D">
        <w:rPr>
          <w:rFonts w:asciiTheme="minorHAnsi" w:eastAsiaTheme="minorHAnsi" w:hAnsiTheme="minorHAnsi" w:cstheme="minorBidi"/>
          <w:kern w:val="2"/>
          <w:sz w:val="18"/>
          <w:szCs w:val="18"/>
          <w:lang w:val="en-GB" w:eastAsia="en-US"/>
          <w14:ligatures w14:val="standardContextual"/>
        </w:rPr>
        <w:t>of the warranty claim within two working days of receiving it and will process the claim within a reasonable timeframe.</w:t>
      </w:r>
    </w:p>
    <w:p w14:paraId="212422E7" w14:textId="77777777" w:rsidR="00B17E6D" w:rsidRPr="00B17E6D" w:rsidRDefault="00B17E6D" w:rsidP="00B17E6D">
      <w:pPr>
        <w:numPr>
          <w:ilvl w:val="0"/>
          <w:numId w:val="5"/>
        </w:numPr>
        <w:spacing w:after="160" w:line="276" w:lineRule="auto"/>
        <w:ind w:left="-284" w:firstLine="0"/>
        <w:contextualSpacing/>
        <w:rPr>
          <w:rFonts w:asciiTheme="minorHAnsi" w:eastAsiaTheme="minorHAnsi" w:hAnsiTheme="minorHAnsi" w:cstheme="minorBidi"/>
          <w:kern w:val="2"/>
          <w:sz w:val="18"/>
          <w:szCs w:val="18"/>
          <w:lang w:val="en-GB" w:eastAsia="en-US"/>
          <w14:ligatures w14:val="standardContextual"/>
        </w:rPr>
      </w:pPr>
      <w:r w:rsidRPr="00B17E6D">
        <w:rPr>
          <w:rFonts w:asciiTheme="minorHAnsi" w:eastAsiaTheme="minorHAnsi" w:hAnsiTheme="minorHAnsi" w:cstheme="minorBidi"/>
          <w:kern w:val="2"/>
          <w:sz w:val="18"/>
          <w:szCs w:val="18"/>
          <w:lang w:val="en-GB" w:eastAsia="en-US"/>
          <w14:ligatures w14:val="standardContextual"/>
        </w:rPr>
        <w:t>The customer or the Workshop must send parts to VALX for defect investigation only upon request by VALX.</w:t>
      </w:r>
    </w:p>
    <w:p w14:paraId="025BCE2A" w14:textId="77777777" w:rsidR="00B17E6D" w:rsidRPr="00B17E6D" w:rsidRDefault="00B17E6D" w:rsidP="00B17E6D">
      <w:pPr>
        <w:numPr>
          <w:ilvl w:val="0"/>
          <w:numId w:val="5"/>
        </w:numPr>
        <w:spacing w:after="160" w:line="276" w:lineRule="auto"/>
        <w:ind w:left="-284" w:firstLine="0"/>
        <w:contextualSpacing/>
        <w:rPr>
          <w:rFonts w:asciiTheme="minorHAnsi" w:eastAsiaTheme="minorHAnsi" w:hAnsiTheme="minorHAnsi" w:cstheme="minorBidi"/>
          <w:kern w:val="2"/>
          <w:sz w:val="18"/>
          <w:szCs w:val="18"/>
          <w:lang w:val="en-GB" w:eastAsia="en-US"/>
          <w14:ligatures w14:val="standardContextual"/>
        </w:rPr>
      </w:pPr>
      <w:r w:rsidRPr="00B17E6D">
        <w:rPr>
          <w:rFonts w:asciiTheme="minorHAnsi" w:eastAsiaTheme="minorHAnsi" w:hAnsiTheme="minorHAnsi" w:cstheme="minorBidi"/>
          <w:kern w:val="2"/>
          <w:sz w:val="18"/>
          <w:szCs w:val="18"/>
          <w:lang w:val="en-GB" w:eastAsia="en-US"/>
          <w14:ligatures w14:val="standardContextual"/>
        </w:rPr>
        <w:t>Transportation charges and labour costs not previously authorized by VALX are not covered under this Warranty.</w:t>
      </w:r>
    </w:p>
    <w:p w14:paraId="1700D75C" w14:textId="77777777" w:rsidR="00B17E6D" w:rsidRPr="00B17E6D" w:rsidRDefault="00B17E6D" w:rsidP="00B17E6D">
      <w:pPr>
        <w:spacing w:line="276" w:lineRule="auto"/>
        <w:ind w:left="-284"/>
        <w:contextualSpacing/>
        <w:rPr>
          <w:rFonts w:asciiTheme="minorHAnsi" w:eastAsiaTheme="minorHAnsi" w:hAnsiTheme="minorHAnsi" w:cstheme="minorBidi"/>
          <w:kern w:val="2"/>
          <w:sz w:val="18"/>
          <w:szCs w:val="18"/>
          <w:lang w:val="en-GB" w:eastAsia="en-US"/>
          <w14:ligatures w14:val="standardContextual"/>
        </w:rPr>
      </w:pPr>
    </w:p>
    <w:p w14:paraId="16529D73" w14:textId="77777777" w:rsidR="00B17E6D" w:rsidRPr="00B17E6D" w:rsidRDefault="00B17E6D" w:rsidP="00B17E6D">
      <w:pPr>
        <w:spacing w:line="276" w:lineRule="auto"/>
        <w:ind w:left="-284"/>
        <w:rPr>
          <w:rFonts w:asciiTheme="minorHAnsi" w:eastAsiaTheme="minorHAnsi" w:hAnsiTheme="minorHAnsi" w:cstheme="minorBidi"/>
          <w:b/>
          <w:bCs/>
          <w:kern w:val="2"/>
          <w:sz w:val="20"/>
          <w:szCs w:val="20"/>
          <w:lang w:val="en-GB" w:eastAsia="en-US"/>
          <w14:ligatures w14:val="standardContextual"/>
        </w:rPr>
      </w:pPr>
      <w:r w:rsidRPr="00B17E6D">
        <w:rPr>
          <w:rFonts w:asciiTheme="minorHAnsi" w:eastAsiaTheme="minorHAnsi" w:hAnsiTheme="minorHAnsi" w:cstheme="minorBidi"/>
          <w:b/>
          <w:bCs/>
          <w:kern w:val="2"/>
          <w:sz w:val="20"/>
          <w:szCs w:val="20"/>
          <w:lang w:val="en-GB" w:eastAsia="en-US"/>
          <w14:ligatures w14:val="standardContextual"/>
        </w:rPr>
        <w:t>Terms of the warranty:</w:t>
      </w:r>
    </w:p>
    <w:p w14:paraId="7A6EF1A8" w14:textId="77777777" w:rsidR="00B17E6D" w:rsidRPr="00B17E6D" w:rsidRDefault="00B17E6D" w:rsidP="00B17E6D">
      <w:pPr>
        <w:spacing w:line="276" w:lineRule="auto"/>
        <w:ind w:left="-284"/>
        <w:rPr>
          <w:rFonts w:asciiTheme="minorHAnsi" w:eastAsiaTheme="minorHAnsi" w:hAnsiTheme="minorHAnsi" w:cstheme="minorBidi"/>
          <w:kern w:val="2"/>
          <w:sz w:val="18"/>
          <w:szCs w:val="18"/>
          <w:lang w:val="en-US" w:eastAsia="en-US"/>
          <w14:ligatures w14:val="standardContextual"/>
        </w:rPr>
      </w:pPr>
      <w:bookmarkStart w:id="0" w:name="_Hlk216689423"/>
      <w:r w:rsidRPr="00B17E6D">
        <w:rPr>
          <w:rFonts w:asciiTheme="minorHAnsi" w:eastAsiaTheme="minorHAnsi" w:hAnsiTheme="minorHAnsi" w:cstheme="minorBidi"/>
          <w:kern w:val="2"/>
          <w:sz w:val="18"/>
          <w:szCs w:val="18"/>
          <w:lang w:val="en-GB" w:eastAsia="en-US"/>
          <w14:ligatures w14:val="standardContextual"/>
        </w:rPr>
        <w:t>The sole responsibility of VALX under this Warranty is limited to repair or replacement of damaged parts at a location designated by VALX.</w:t>
      </w:r>
      <w:bookmarkEnd w:id="0"/>
      <w:r w:rsidRPr="00B17E6D">
        <w:rPr>
          <w:rFonts w:asciiTheme="minorHAnsi" w:eastAsiaTheme="minorHAnsi" w:hAnsiTheme="minorHAnsi" w:cstheme="minorBidi"/>
          <w:kern w:val="2"/>
          <w:sz w:val="18"/>
          <w:szCs w:val="18"/>
          <w:lang w:val="en-GB" w:eastAsia="en-US"/>
          <w14:ligatures w14:val="standardContextual"/>
        </w:rPr>
        <w:t xml:space="preserve">  </w:t>
      </w:r>
      <w:bookmarkStart w:id="1" w:name="_Hlk212041643"/>
      <w:r w:rsidRPr="00B17E6D">
        <w:rPr>
          <w:rFonts w:asciiTheme="minorHAnsi" w:eastAsiaTheme="minorHAnsi" w:hAnsiTheme="minorHAnsi" w:cstheme="minorBidi"/>
          <w:kern w:val="2"/>
          <w:sz w:val="18"/>
          <w:szCs w:val="18"/>
          <w:lang w:val="en-GB" w:eastAsia="en-US"/>
          <w14:ligatures w14:val="standardContextual"/>
        </w:rPr>
        <w:t>For VALX t</w:t>
      </w:r>
      <w:r w:rsidRPr="00B17E6D">
        <w:rPr>
          <w:rFonts w:asciiTheme="minorHAnsi" w:eastAsiaTheme="minorHAnsi" w:hAnsiTheme="minorHAnsi" w:cstheme="minorBidi"/>
          <w:kern w:val="2"/>
          <w:sz w:val="18"/>
          <w:szCs w:val="18"/>
          <w:lang w:val="en-US" w:eastAsia="en-US"/>
          <w14:ligatures w14:val="standardContextual"/>
        </w:rPr>
        <w:t>o initiate a warranty investigation, the customer is required to submit a claim via the official website https://www.valx.eu by completing the Service Case Registration Form with all required details.</w:t>
      </w:r>
    </w:p>
    <w:p w14:paraId="0D39B2AB" w14:textId="77777777" w:rsidR="00B17E6D" w:rsidRPr="00B17E6D" w:rsidRDefault="00B17E6D" w:rsidP="00B17E6D">
      <w:pPr>
        <w:spacing w:line="276" w:lineRule="auto"/>
        <w:ind w:left="-284"/>
        <w:rPr>
          <w:rFonts w:asciiTheme="minorHAnsi" w:eastAsiaTheme="minorHAnsi" w:hAnsiTheme="minorHAnsi" w:cstheme="minorBidi"/>
          <w:kern w:val="2"/>
          <w:sz w:val="18"/>
          <w:szCs w:val="18"/>
          <w:lang w:val="en-US" w:eastAsia="en-US"/>
          <w14:ligatures w14:val="standardContextual"/>
        </w:rPr>
      </w:pPr>
    </w:p>
    <w:bookmarkEnd w:id="1"/>
    <w:p w14:paraId="79880EAD" w14:textId="77777777" w:rsidR="00B17E6D" w:rsidRPr="00B17E6D" w:rsidRDefault="00B17E6D" w:rsidP="00B17E6D">
      <w:pPr>
        <w:spacing w:line="276" w:lineRule="auto"/>
        <w:ind w:left="-284"/>
        <w:rPr>
          <w:rFonts w:asciiTheme="minorHAnsi" w:eastAsiaTheme="minorHAnsi" w:hAnsiTheme="minorHAnsi" w:cstheme="minorBidi"/>
          <w:kern w:val="2"/>
          <w:sz w:val="18"/>
          <w:szCs w:val="18"/>
          <w:lang w:val="en-GB" w:eastAsia="en-US"/>
          <w14:ligatures w14:val="standardContextual"/>
        </w:rPr>
      </w:pPr>
      <w:r w:rsidRPr="00B17E6D">
        <w:rPr>
          <w:rFonts w:asciiTheme="minorHAnsi" w:eastAsiaTheme="minorHAnsi" w:hAnsiTheme="minorHAnsi" w:cstheme="minorBidi"/>
          <w:kern w:val="2"/>
          <w:sz w:val="18"/>
          <w:szCs w:val="18"/>
          <w:lang w:val="en-GB" w:eastAsia="en-US"/>
          <w14:ligatures w14:val="standardContextual"/>
        </w:rPr>
        <w:t>VALX is entitled to change the terms of the warranty without prior notice.</w:t>
      </w:r>
    </w:p>
    <w:p w14:paraId="73A80AC4" w14:textId="77777777" w:rsidR="00B17E6D" w:rsidRPr="00B17E6D" w:rsidRDefault="00B17E6D" w:rsidP="00B17E6D">
      <w:pPr>
        <w:spacing w:line="276" w:lineRule="auto"/>
        <w:ind w:left="-284"/>
        <w:rPr>
          <w:rFonts w:asciiTheme="minorHAnsi" w:eastAsiaTheme="minorHAnsi" w:hAnsiTheme="minorHAnsi" w:cstheme="minorBidi"/>
          <w:b/>
          <w:bCs/>
          <w:kern w:val="2"/>
          <w:sz w:val="20"/>
          <w:szCs w:val="20"/>
          <w:lang w:val="en-GB" w:eastAsia="en-US"/>
          <w14:ligatures w14:val="standardContextual"/>
        </w:rPr>
      </w:pPr>
    </w:p>
    <w:p w14:paraId="10B1EE3A" w14:textId="77777777" w:rsidR="00B17E6D" w:rsidRPr="00B17E6D" w:rsidRDefault="00B17E6D" w:rsidP="00B17E6D">
      <w:pPr>
        <w:spacing w:line="276" w:lineRule="auto"/>
        <w:ind w:left="-284"/>
        <w:rPr>
          <w:rFonts w:asciiTheme="minorHAnsi" w:eastAsiaTheme="minorHAnsi" w:hAnsiTheme="minorHAnsi" w:cstheme="minorBidi"/>
          <w:b/>
          <w:bCs/>
          <w:kern w:val="2"/>
          <w:sz w:val="20"/>
          <w:szCs w:val="20"/>
          <w:lang w:val="en-GB" w:eastAsia="en-US"/>
          <w14:ligatures w14:val="standardContextual"/>
        </w:rPr>
      </w:pPr>
      <w:r w:rsidRPr="00B17E6D">
        <w:rPr>
          <w:rFonts w:asciiTheme="minorHAnsi" w:eastAsiaTheme="minorHAnsi" w:hAnsiTheme="minorHAnsi" w:cstheme="minorBidi"/>
          <w:b/>
          <w:bCs/>
          <w:kern w:val="2"/>
          <w:sz w:val="20"/>
          <w:szCs w:val="20"/>
          <w:lang w:val="en-GB" w:eastAsia="en-US"/>
          <w14:ligatures w14:val="standardContextual"/>
        </w:rPr>
        <w:t>Choice of law and place of jurisdiction:</w:t>
      </w:r>
    </w:p>
    <w:p w14:paraId="150CE5A3" w14:textId="77777777" w:rsidR="00B17E6D" w:rsidRPr="00B17E6D" w:rsidRDefault="00B17E6D" w:rsidP="00B17E6D">
      <w:pPr>
        <w:spacing w:line="276" w:lineRule="auto"/>
        <w:ind w:left="-284"/>
        <w:rPr>
          <w:rFonts w:asciiTheme="minorHAnsi" w:eastAsiaTheme="minorHAnsi" w:hAnsiTheme="minorHAnsi" w:cstheme="minorBidi"/>
          <w:kern w:val="2"/>
          <w:sz w:val="18"/>
          <w:szCs w:val="18"/>
          <w:lang w:val="en-GB" w:eastAsia="en-US"/>
          <w14:ligatures w14:val="standardContextual"/>
        </w:rPr>
      </w:pPr>
      <w:bookmarkStart w:id="2" w:name="_Hlk216689690"/>
      <w:r w:rsidRPr="00B17E6D">
        <w:rPr>
          <w:rFonts w:asciiTheme="minorHAnsi" w:eastAsiaTheme="minorHAnsi" w:hAnsiTheme="minorHAnsi" w:cstheme="minorBidi"/>
          <w:kern w:val="2"/>
          <w:sz w:val="18"/>
          <w:szCs w:val="18"/>
          <w:lang w:val="en-GB" w:eastAsia="en-US"/>
          <w14:ligatures w14:val="standardContextual"/>
        </w:rPr>
        <w:t>This warranty is governed by the “General terms and conditions of sales VALX B.V.”, except where explicitly stated otherwise within this Warranty. In that case the provision of this Warranty shall prevail.</w:t>
      </w:r>
      <w:bookmarkEnd w:id="2"/>
      <w:r w:rsidRPr="00B17E6D">
        <w:rPr>
          <w:rFonts w:asciiTheme="minorHAnsi" w:eastAsiaTheme="minorHAnsi" w:hAnsiTheme="minorHAnsi" w:cstheme="minorBidi"/>
          <w:kern w:val="2"/>
          <w:sz w:val="18"/>
          <w:szCs w:val="18"/>
          <w:lang w:val="en-GB" w:eastAsia="en-US"/>
          <w14:ligatures w14:val="standardContextual"/>
        </w:rPr>
        <w:t xml:space="preserve"> </w:t>
      </w:r>
    </w:p>
    <w:p w14:paraId="2AD26B65" w14:textId="77777777" w:rsidR="00B17E6D" w:rsidRPr="00B17E6D" w:rsidRDefault="00B17E6D" w:rsidP="00B17E6D">
      <w:pPr>
        <w:spacing w:line="276" w:lineRule="auto"/>
        <w:ind w:left="-284"/>
        <w:rPr>
          <w:rFonts w:asciiTheme="minorHAnsi" w:eastAsiaTheme="minorHAnsi" w:hAnsiTheme="minorHAnsi" w:cstheme="minorBidi"/>
          <w:kern w:val="2"/>
          <w:sz w:val="18"/>
          <w:szCs w:val="18"/>
          <w:lang w:val="en-GB" w:eastAsia="en-US"/>
          <w14:ligatures w14:val="standardContextual"/>
        </w:rPr>
      </w:pPr>
      <w:r w:rsidRPr="00B17E6D">
        <w:rPr>
          <w:rFonts w:asciiTheme="minorHAnsi" w:eastAsiaTheme="minorHAnsi" w:hAnsiTheme="minorHAnsi" w:cstheme="minorBidi"/>
          <w:kern w:val="2"/>
          <w:sz w:val="18"/>
          <w:szCs w:val="18"/>
          <w:lang w:val="en-GB" w:eastAsia="en-US"/>
          <w14:ligatures w14:val="standardContextual"/>
        </w:rPr>
        <w:t>The Warranty is subject to Dutch law. The exclusive place of jurisdiction is ‘s Hertogenbosch.</w:t>
      </w:r>
    </w:p>
    <w:p w14:paraId="6F55414E" w14:textId="77777777" w:rsidR="00181CA9" w:rsidRPr="00A40B80" w:rsidRDefault="00181CA9" w:rsidP="00181CA9">
      <w:pPr>
        <w:spacing w:line="276" w:lineRule="auto"/>
        <w:ind w:left="-284"/>
        <w:rPr>
          <w:rFonts w:asciiTheme="minorHAnsi" w:hAnsiTheme="minorHAnsi"/>
          <w:sz w:val="18"/>
          <w:szCs w:val="18"/>
          <w:lang w:val="en-GB"/>
        </w:rPr>
      </w:pPr>
    </w:p>
    <w:p w14:paraId="34B73530" w14:textId="77777777" w:rsidR="00181CA9" w:rsidRPr="00A40B80" w:rsidRDefault="00181CA9" w:rsidP="00181CA9">
      <w:pPr>
        <w:spacing w:line="276" w:lineRule="auto"/>
        <w:ind w:left="-284"/>
        <w:rPr>
          <w:rFonts w:asciiTheme="minorHAnsi" w:hAnsiTheme="minorHAnsi"/>
          <w:sz w:val="18"/>
          <w:szCs w:val="18"/>
          <w:lang w:val="en-GB"/>
        </w:rPr>
      </w:pPr>
    </w:p>
    <w:p w14:paraId="738042FC" w14:textId="63AC6159" w:rsidR="00181CA9" w:rsidRPr="00A40B80" w:rsidRDefault="00181CA9" w:rsidP="00181CA9">
      <w:pPr>
        <w:spacing w:line="276" w:lineRule="auto"/>
        <w:ind w:left="-426"/>
        <w:jc w:val="right"/>
        <w:rPr>
          <w:rFonts w:asciiTheme="minorHAnsi" w:hAnsiTheme="minorHAnsi"/>
          <w:sz w:val="18"/>
          <w:szCs w:val="18"/>
          <w:lang w:val="en-GB"/>
        </w:rPr>
      </w:pPr>
      <w:r w:rsidRPr="00A40B80">
        <w:rPr>
          <w:rFonts w:asciiTheme="minorHAnsi" w:hAnsiTheme="minorHAnsi"/>
          <w:sz w:val="18"/>
          <w:szCs w:val="18"/>
          <w:lang w:val="en-GB"/>
        </w:rPr>
        <w:t xml:space="preserve">Copyright 2026 VALX </w:t>
      </w:r>
      <w:r w:rsidR="00F85B3B">
        <w:rPr>
          <w:rFonts w:asciiTheme="minorHAnsi" w:hAnsiTheme="minorHAnsi"/>
          <w:sz w:val="18"/>
          <w:szCs w:val="18"/>
          <w:lang w:val="en-GB"/>
        </w:rPr>
        <w:t>B.V.</w:t>
      </w:r>
      <w:r w:rsidRPr="00A40B80">
        <w:rPr>
          <w:rFonts w:asciiTheme="minorHAnsi" w:hAnsiTheme="minorHAnsi"/>
          <w:sz w:val="18"/>
          <w:szCs w:val="18"/>
          <w:lang w:val="en-GB"/>
        </w:rPr>
        <w:t>. All rights reserved.</w:t>
      </w:r>
    </w:p>
    <w:p w14:paraId="1A96A181" w14:textId="77777777" w:rsidR="00181CA9" w:rsidRPr="00A40B80" w:rsidRDefault="00181CA9" w:rsidP="00181CA9">
      <w:pPr>
        <w:spacing w:line="276" w:lineRule="auto"/>
        <w:ind w:left="-426"/>
        <w:rPr>
          <w:rFonts w:asciiTheme="minorHAnsi" w:hAnsiTheme="minorHAnsi"/>
          <w:sz w:val="20"/>
          <w:szCs w:val="20"/>
          <w:lang w:val="en-GB"/>
        </w:rPr>
      </w:pPr>
    </w:p>
    <w:p w14:paraId="1FBE9154" w14:textId="77777777" w:rsidR="00181CA9" w:rsidRPr="00A40B80" w:rsidRDefault="00181CA9" w:rsidP="00181CA9">
      <w:pPr>
        <w:spacing w:line="276" w:lineRule="auto"/>
        <w:ind w:left="-426"/>
        <w:rPr>
          <w:rFonts w:asciiTheme="minorHAnsi" w:hAnsiTheme="minorHAnsi"/>
          <w:sz w:val="22"/>
          <w:szCs w:val="22"/>
          <w:lang w:val="en-GB"/>
        </w:rPr>
      </w:pPr>
    </w:p>
    <w:p w14:paraId="4C37CE8B" w14:textId="77777777" w:rsidR="00B80E9A" w:rsidRPr="00A40B80" w:rsidRDefault="00B80E9A" w:rsidP="00181CA9">
      <w:pPr>
        <w:spacing w:line="276" w:lineRule="auto"/>
        <w:ind w:left="-284"/>
        <w:rPr>
          <w:rFonts w:asciiTheme="minorHAnsi" w:hAnsiTheme="minorHAnsi"/>
          <w:lang w:val="en-GB"/>
        </w:rPr>
      </w:pPr>
    </w:p>
    <w:sectPr w:rsidR="00B80E9A" w:rsidRPr="00A40B80" w:rsidSect="00B22354">
      <w:headerReference w:type="default" r:id="rId11"/>
      <w:footerReference w:type="default" r:id="rId12"/>
      <w:pgSz w:w="11906" w:h="16838"/>
      <w:pgMar w:top="1417" w:right="707" w:bottom="1417" w:left="993"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104F" w14:textId="77777777" w:rsidR="00D37F6F" w:rsidRDefault="00D37F6F" w:rsidP="00130728">
      <w:r>
        <w:separator/>
      </w:r>
    </w:p>
  </w:endnote>
  <w:endnote w:type="continuationSeparator" w:id="0">
    <w:p w14:paraId="09B60E7B" w14:textId="77777777" w:rsidR="00D37F6F" w:rsidRDefault="00D37F6F" w:rsidP="0013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0A0B" w14:textId="410F7ACC" w:rsidR="00130728" w:rsidRPr="00DD4490" w:rsidRDefault="00FA6481" w:rsidP="003E006D">
    <w:pPr>
      <w:pStyle w:val="Voettekst"/>
      <w:ind w:left="-284"/>
      <w:rPr>
        <w:rFonts w:ascii="Aptos" w:hAnsi="Aptos"/>
        <w:color w:val="275317" w:themeColor="accent6" w:themeShade="80"/>
        <w:sz w:val="12"/>
        <w:szCs w:val="12"/>
      </w:rPr>
    </w:pPr>
    <w:r w:rsidRPr="00DD4490">
      <w:rPr>
        <w:rFonts w:ascii="Aptos" w:hAnsi="Aptos"/>
        <w:noProof/>
        <w:color w:val="275317" w:themeColor="accent6" w:themeShade="80"/>
        <w:sz w:val="12"/>
        <w:szCs w:val="12"/>
      </w:rPr>
      <mc:AlternateContent>
        <mc:Choice Requires="wps">
          <w:drawing>
            <wp:anchor distT="0" distB="0" distL="114300" distR="114300" simplePos="0" relativeHeight="251652096" behindDoc="0" locked="0" layoutInCell="1" allowOverlap="1" wp14:anchorId="67665B2D" wp14:editId="528BA085">
              <wp:simplePos x="0" y="0"/>
              <wp:positionH relativeFrom="column">
                <wp:posOffset>-191304</wp:posOffset>
              </wp:positionH>
              <wp:positionV relativeFrom="paragraph">
                <wp:posOffset>-28721</wp:posOffset>
              </wp:positionV>
              <wp:extent cx="6691528" cy="0"/>
              <wp:effectExtent l="0" t="0" r="0" b="0"/>
              <wp:wrapNone/>
              <wp:docPr id="115858839" name="Rechte verbindingslijn 2"/>
              <wp:cNvGraphicFramePr/>
              <a:graphic xmlns:a="http://schemas.openxmlformats.org/drawingml/2006/main">
                <a:graphicData uri="http://schemas.microsoft.com/office/word/2010/wordprocessingShape">
                  <wps:wsp>
                    <wps:cNvCnPr/>
                    <wps:spPr>
                      <a:xfrm>
                        <a:off x="0" y="0"/>
                        <a:ext cx="6691528"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E836E" id="Rechte verbindingslijn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2.25pt" to="511.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" strokecolor="#196b24 [3206]" strokeweight=".5pt">
              <v:stroke joinstyle="miter"/>
            </v:line>
          </w:pict>
        </mc:Fallback>
      </mc:AlternateContent>
    </w:r>
    <w:r w:rsidR="00130728" w:rsidRPr="00DD4490">
      <w:rPr>
        <w:rFonts w:ascii="Aptos" w:hAnsi="Aptos"/>
        <w:color w:val="275317" w:themeColor="accent6" w:themeShade="80"/>
        <w:sz w:val="12"/>
        <w:szCs w:val="12"/>
      </w:rPr>
      <w:t>Valx B.V.</w:t>
    </w:r>
    <w:r w:rsidR="00EF3EA0" w:rsidRPr="00DD4490">
      <w:rPr>
        <w:rFonts w:ascii="Aptos" w:hAnsi="Aptos"/>
        <w:color w:val="275317" w:themeColor="accent6" w:themeShade="80"/>
        <w:sz w:val="12"/>
        <w:szCs w:val="12"/>
      </w:rPr>
      <w:tab/>
    </w:r>
    <w:r w:rsidR="00932CDB" w:rsidRPr="00DD4490">
      <w:rPr>
        <w:rFonts w:ascii="Aptos" w:hAnsi="Aptos"/>
        <w:color w:val="275317" w:themeColor="accent6" w:themeShade="80"/>
        <w:sz w:val="12"/>
        <w:szCs w:val="12"/>
      </w:rPr>
      <w:t xml:space="preserve">            </w:t>
    </w:r>
    <w:r w:rsidR="00DD4490">
      <w:rPr>
        <w:rFonts w:ascii="Aptos" w:hAnsi="Aptos"/>
        <w:color w:val="275317" w:themeColor="accent6" w:themeShade="80"/>
        <w:sz w:val="12"/>
        <w:szCs w:val="12"/>
      </w:rPr>
      <w:t xml:space="preserve">  </w:t>
    </w:r>
    <w:r w:rsidR="00EF3EA0" w:rsidRPr="00DD4490">
      <w:rPr>
        <w:rFonts w:ascii="Aptos" w:hAnsi="Aptos"/>
        <w:color w:val="275317" w:themeColor="accent6" w:themeShade="80"/>
        <w:sz w:val="12"/>
        <w:szCs w:val="12"/>
      </w:rPr>
      <w:t xml:space="preserve">T: +31 </w:t>
    </w:r>
    <w:r w:rsidR="00D458C7" w:rsidRPr="00DD4490">
      <w:rPr>
        <w:rFonts w:ascii="Aptos" w:hAnsi="Aptos"/>
        <w:color w:val="275317" w:themeColor="accent6" w:themeShade="80"/>
        <w:sz w:val="12"/>
        <w:szCs w:val="12"/>
      </w:rPr>
      <w:t>(0) 88 405 88 00</w:t>
    </w:r>
    <w:r w:rsidR="00130728" w:rsidRPr="00DD4490">
      <w:rPr>
        <w:rFonts w:ascii="Aptos" w:hAnsi="Aptos"/>
        <w:color w:val="275317" w:themeColor="accent6" w:themeShade="80"/>
        <w:sz w:val="12"/>
        <w:szCs w:val="12"/>
      </w:rPr>
      <w:tab/>
    </w:r>
  </w:p>
  <w:p w14:paraId="78AEB926" w14:textId="77777777" w:rsidR="003E006D" w:rsidRPr="00DD4490" w:rsidRDefault="00130728" w:rsidP="003E006D">
    <w:pPr>
      <w:pStyle w:val="Voettekst"/>
      <w:ind w:left="-284"/>
      <w:rPr>
        <w:rFonts w:ascii="Aptos" w:hAnsi="Aptos"/>
        <w:color w:val="275317" w:themeColor="accent6" w:themeShade="80"/>
        <w:sz w:val="12"/>
        <w:szCs w:val="12"/>
      </w:rPr>
    </w:pPr>
    <w:r w:rsidRPr="00DD4490">
      <w:rPr>
        <w:rFonts w:ascii="Aptos" w:hAnsi="Aptos"/>
        <w:color w:val="275317" w:themeColor="accent6" w:themeShade="80"/>
        <w:sz w:val="12"/>
        <w:szCs w:val="12"/>
      </w:rPr>
      <w:t>Keukenbeemd 4</w:t>
    </w:r>
    <w:r w:rsidR="00923B21" w:rsidRPr="00DD4490">
      <w:rPr>
        <w:rFonts w:ascii="Aptos" w:hAnsi="Aptos"/>
        <w:color w:val="275317" w:themeColor="accent6" w:themeShade="80"/>
        <w:sz w:val="12"/>
        <w:szCs w:val="12"/>
      </w:rPr>
      <w:tab/>
    </w:r>
    <w:r w:rsidR="00E16380" w:rsidRPr="00DD4490">
      <w:rPr>
        <w:rFonts w:ascii="Aptos" w:hAnsi="Aptos"/>
        <w:color w:val="275317" w:themeColor="accent6" w:themeShade="80"/>
        <w:sz w:val="12"/>
        <w:szCs w:val="12"/>
      </w:rPr>
      <w:t>E: info@valx.eu</w:t>
    </w:r>
    <w:r w:rsidR="00D458C7" w:rsidRPr="00DD4490">
      <w:rPr>
        <w:rFonts w:ascii="Aptos" w:hAnsi="Aptos"/>
        <w:color w:val="275317" w:themeColor="accent6" w:themeShade="80"/>
        <w:sz w:val="12"/>
        <w:szCs w:val="12"/>
      </w:rPr>
      <w:tab/>
    </w:r>
  </w:p>
  <w:p w14:paraId="457E360F" w14:textId="322CB87F" w:rsidR="00130728" w:rsidRPr="00DD4490" w:rsidRDefault="00130728" w:rsidP="003E006D">
    <w:pPr>
      <w:pStyle w:val="Voettekst"/>
      <w:ind w:left="-284"/>
      <w:rPr>
        <w:rFonts w:ascii="Aptos" w:hAnsi="Aptos"/>
        <w:color w:val="275317" w:themeColor="accent6" w:themeShade="80"/>
        <w:sz w:val="12"/>
        <w:szCs w:val="12"/>
      </w:rPr>
    </w:pPr>
    <w:r w:rsidRPr="00DD4490">
      <w:rPr>
        <w:rFonts w:ascii="Aptos" w:hAnsi="Aptos"/>
        <w:color w:val="275317" w:themeColor="accent6" w:themeShade="80"/>
        <w:sz w:val="12"/>
        <w:szCs w:val="12"/>
      </w:rPr>
      <w:t>57</w:t>
    </w:r>
    <w:r w:rsidR="000344C9" w:rsidRPr="00DD4490">
      <w:rPr>
        <w:rFonts w:ascii="Aptos" w:hAnsi="Aptos"/>
        <w:color w:val="275317" w:themeColor="accent6" w:themeShade="80"/>
        <w:sz w:val="12"/>
        <w:szCs w:val="12"/>
      </w:rPr>
      <w:t>4</w:t>
    </w:r>
    <w:r w:rsidRPr="00DD4490">
      <w:rPr>
        <w:rFonts w:ascii="Aptos" w:hAnsi="Aptos"/>
        <w:color w:val="275317" w:themeColor="accent6" w:themeShade="80"/>
        <w:sz w:val="12"/>
        <w:szCs w:val="12"/>
      </w:rPr>
      <w:t>1 TV  BEEK EN DONK</w:t>
    </w:r>
    <w:r w:rsidR="00E16380" w:rsidRPr="00DD4490">
      <w:rPr>
        <w:rFonts w:ascii="Aptos" w:hAnsi="Aptos"/>
        <w:color w:val="275317" w:themeColor="accent6" w:themeShade="80"/>
        <w:sz w:val="12"/>
        <w:szCs w:val="12"/>
      </w:rPr>
      <w:tab/>
      <w:t>W: www.valx.eu</w:t>
    </w:r>
  </w:p>
  <w:p w14:paraId="0D664527" w14:textId="67AAFBB4" w:rsidR="006E604D" w:rsidRPr="00622B30" w:rsidRDefault="00130728" w:rsidP="003E006D">
    <w:pPr>
      <w:pStyle w:val="Voettekst"/>
      <w:ind w:left="-284"/>
      <w:rPr>
        <w:color w:val="275317" w:themeColor="accent6" w:themeShade="80"/>
        <w:sz w:val="12"/>
        <w:szCs w:val="12"/>
      </w:rPr>
    </w:pPr>
    <w:r w:rsidRPr="00DD4490">
      <w:rPr>
        <w:rFonts w:ascii="Aptos" w:hAnsi="Aptos"/>
        <w:color w:val="275317" w:themeColor="accent6" w:themeShade="80"/>
        <w:sz w:val="12"/>
        <w:szCs w:val="12"/>
      </w:rPr>
      <w:t>The Netherlands</w:t>
    </w:r>
    <w:r w:rsidR="000D4CB3" w:rsidRPr="00622B30">
      <w:rPr>
        <w:color w:val="275317" w:themeColor="accent6" w:themeShade="80"/>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7C5A" w14:textId="77777777" w:rsidR="00D37F6F" w:rsidRDefault="00D37F6F" w:rsidP="00130728">
      <w:r>
        <w:separator/>
      </w:r>
    </w:p>
  </w:footnote>
  <w:footnote w:type="continuationSeparator" w:id="0">
    <w:p w14:paraId="494B307C" w14:textId="77777777" w:rsidR="00D37F6F" w:rsidRDefault="00D37F6F" w:rsidP="0013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341F" w14:textId="77777777" w:rsidR="001C6A4B" w:rsidRDefault="00130728" w:rsidP="00CA549D">
    <w:pPr>
      <w:pStyle w:val="Koptekst"/>
      <w:tabs>
        <w:tab w:val="clear" w:pos="9072"/>
        <w:tab w:val="right" w:pos="9781"/>
      </w:tabs>
      <w:ind w:right="-284"/>
    </w:pPr>
    <w:r>
      <w:t xml:space="preserve">                                             </w:t>
    </w:r>
  </w:p>
  <w:tbl>
    <w:tblPr>
      <w:tblStyle w:val="Tabelraster"/>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992"/>
      <w:gridCol w:w="6379"/>
      <w:gridCol w:w="1984"/>
    </w:tblGrid>
    <w:tr w:rsidR="007A06F0" w14:paraId="32FFEBF2" w14:textId="77777777" w:rsidTr="006F3047">
      <w:tc>
        <w:tcPr>
          <w:tcW w:w="1135" w:type="dxa"/>
          <w:vAlign w:val="center"/>
        </w:tcPr>
        <w:p w14:paraId="56902A32" w14:textId="7BF609BA" w:rsidR="00793BA0" w:rsidRPr="00DD4490" w:rsidRDefault="005E4655" w:rsidP="007B6B8E">
          <w:pPr>
            <w:pStyle w:val="Koptekst"/>
            <w:tabs>
              <w:tab w:val="clear" w:pos="9072"/>
              <w:tab w:val="right" w:pos="9781"/>
            </w:tabs>
            <w:ind w:right="-284"/>
            <w:rPr>
              <w:rFonts w:asciiTheme="minorHAnsi" w:hAnsiTheme="minorHAnsi"/>
              <w:color w:val="275317" w:themeColor="accent6" w:themeShade="80"/>
              <w:sz w:val="12"/>
              <w:szCs w:val="12"/>
            </w:rPr>
          </w:pPr>
          <w:r w:rsidRPr="00DD4490">
            <w:rPr>
              <w:rFonts w:asciiTheme="minorHAnsi" w:hAnsiTheme="minorHAnsi"/>
              <w:color w:val="275317" w:themeColor="accent6" w:themeShade="80"/>
              <w:sz w:val="12"/>
              <w:szCs w:val="12"/>
            </w:rPr>
            <w:t>Form nr.</w:t>
          </w:r>
        </w:p>
      </w:tc>
      <w:tc>
        <w:tcPr>
          <w:tcW w:w="992" w:type="dxa"/>
          <w:vAlign w:val="center"/>
        </w:tcPr>
        <w:p w14:paraId="0320F53A" w14:textId="478FBC9C" w:rsidR="00793BA0" w:rsidRPr="00DD4490" w:rsidRDefault="00181CA9" w:rsidP="007A06F0">
          <w:pPr>
            <w:pStyle w:val="Koptekst"/>
            <w:tabs>
              <w:tab w:val="clear" w:pos="9072"/>
              <w:tab w:val="right" w:pos="9781"/>
            </w:tabs>
            <w:ind w:right="-284"/>
            <w:rPr>
              <w:rFonts w:asciiTheme="minorHAnsi" w:hAnsiTheme="minorHAnsi"/>
              <w:color w:val="275317" w:themeColor="accent6" w:themeShade="80"/>
              <w:sz w:val="12"/>
              <w:szCs w:val="12"/>
            </w:rPr>
          </w:pPr>
          <w:r w:rsidRPr="00DD4490">
            <w:rPr>
              <w:rFonts w:asciiTheme="minorHAnsi" w:hAnsiTheme="minorHAnsi"/>
              <w:color w:val="275317" w:themeColor="accent6" w:themeShade="80"/>
              <w:sz w:val="12"/>
              <w:szCs w:val="12"/>
            </w:rPr>
            <w:t>V-D-WAR-000</w:t>
          </w:r>
          <w:r w:rsidR="00DD4490" w:rsidRPr="00DD4490">
            <w:rPr>
              <w:rFonts w:asciiTheme="minorHAnsi" w:hAnsiTheme="minorHAnsi"/>
              <w:color w:val="275317" w:themeColor="accent6" w:themeShade="80"/>
              <w:sz w:val="12"/>
              <w:szCs w:val="12"/>
            </w:rPr>
            <w:t>3</w:t>
          </w:r>
        </w:p>
      </w:tc>
      <w:tc>
        <w:tcPr>
          <w:tcW w:w="6379" w:type="dxa"/>
          <w:vMerge w:val="restart"/>
          <w:vAlign w:val="center"/>
        </w:tcPr>
        <w:p w14:paraId="3186944C" w14:textId="2D188F0C" w:rsidR="00793BA0" w:rsidRPr="00B22354" w:rsidRDefault="00181CA9" w:rsidP="001E19AC">
          <w:pPr>
            <w:pStyle w:val="Koptekst"/>
            <w:tabs>
              <w:tab w:val="clear" w:pos="9072"/>
              <w:tab w:val="right" w:pos="9781"/>
            </w:tabs>
            <w:ind w:right="-284"/>
            <w:jc w:val="center"/>
            <w:rPr>
              <w:color w:val="275317" w:themeColor="accent6" w:themeShade="80"/>
              <w:sz w:val="28"/>
              <w:szCs w:val="28"/>
            </w:rPr>
          </w:pPr>
          <w:r w:rsidRPr="00B22354">
            <w:rPr>
              <w:rFonts w:asciiTheme="minorHAnsi" w:hAnsiTheme="minorHAnsi"/>
              <w:color w:val="275317" w:themeColor="accent6" w:themeShade="80"/>
              <w:lang w:val="en-GB"/>
            </w:rPr>
            <w:t>Warranty Commitment Landing Gears</w:t>
          </w:r>
        </w:p>
      </w:tc>
      <w:tc>
        <w:tcPr>
          <w:tcW w:w="1984" w:type="dxa"/>
          <w:vMerge w:val="restart"/>
          <w:vAlign w:val="center"/>
        </w:tcPr>
        <w:p w14:paraId="12F3EE0C" w14:textId="765F9713" w:rsidR="00793BA0" w:rsidRPr="00793BA0" w:rsidRDefault="00AC0898" w:rsidP="007076EB">
          <w:pPr>
            <w:pStyle w:val="Koptekst"/>
            <w:tabs>
              <w:tab w:val="clear" w:pos="9072"/>
              <w:tab w:val="right" w:pos="9781"/>
            </w:tabs>
            <w:ind w:right="-284"/>
            <w:rPr>
              <w:color w:val="275317" w:themeColor="accent6" w:themeShade="80"/>
            </w:rPr>
          </w:pPr>
          <w:r>
            <w:rPr>
              <w:noProof/>
            </w:rPr>
            <w:drawing>
              <wp:inline distT="0" distB="0" distL="0" distR="0" wp14:anchorId="4C339E60" wp14:editId="734FA70F">
                <wp:extent cx="1161933" cy="186567"/>
                <wp:effectExtent l="0" t="0" r="635" b="4445"/>
                <wp:docPr id="1540418587" name="Afbeelding 1540418587" descr="Afbeelding met schermopname, Graphics, grafische vormgeving, gr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rmopname, Graphics, grafische vormgeving, groen&#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0924" cy="189616"/>
                        </a:xfrm>
                        <a:prstGeom prst="rect">
                          <a:avLst/>
                        </a:prstGeom>
                        <a:noFill/>
                        <a:ln>
                          <a:noFill/>
                        </a:ln>
                      </pic:spPr>
                    </pic:pic>
                  </a:graphicData>
                </a:graphic>
              </wp:inline>
            </w:drawing>
          </w:r>
        </w:p>
      </w:tc>
    </w:tr>
    <w:tr w:rsidR="007A06F0" w14:paraId="25953479" w14:textId="77777777" w:rsidTr="006F3047">
      <w:tc>
        <w:tcPr>
          <w:tcW w:w="1135" w:type="dxa"/>
          <w:vAlign w:val="center"/>
        </w:tcPr>
        <w:p w14:paraId="5DF64E94" w14:textId="2B1E7A78" w:rsidR="005E4655" w:rsidRPr="00DD4490" w:rsidRDefault="005E4655" w:rsidP="007B6B8E">
          <w:pPr>
            <w:pStyle w:val="Koptekst"/>
            <w:tabs>
              <w:tab w:val="clear" w:pos="9072"/>
              <w:tab w:val="right" w:pos="9781"/>
            </w:tabs>
            <w:ind w:right="-284"/>
            <w:rPr>
              <w:rFonts w:asciiTheme="minorHAnsi" w:hAnsiTheme="minorHAnsi"/>
              <w:color w:val="275317" w:themeColor="accent6" w:themeShade="80"/>
              <w:sz w:val="12"/>
              <w:szCs w:val="12"/>
            </w:rPr>
          </w:pPr>
          <w:r w:rsidRPr="00DD4490">
            <w:rPr>
              <w:rFonts w:asciiTheme="minorHAnsi" w:hAnsiTheme="minorHAnsi"/>
              <w:color w:val="275317" w:themeColor="accent6" w:themeShade="80"/>
              <w:sz w:val="12"/>
              <w:szCs w:val="12"/>
            </w:rPr>
            <w:t>Revision</w:t>
          </w:r>
        </w:p>
      </w:tc>
      <w:tc>
        <w:tcPr>
          <w:tcW w:w="992" w:type="dxa"/>
          <w:vAlign w:val="center"/>
        </w:tcPr>
        <w:p w14:paraId="1F0B757D" w14:textId="1844C877" w:rsidR="00793BA0" w:rsidRPr="00DD4490" w:rsidRDefault="00181CA9" w:rsidP="007A06F0">
          <w:pPr>
            <w:pStyle w:val="Koptekst"/>
            <w:tabs>
              <w:tab w:val="clear" w:pos="9072"/>
              <w:tab w:val="right" w:pos="9781"/>
            </w:tabs>
            <w:ind w:right="-284"/>
            <w:rPr>
              <w:rFonts w:asciiTheme="minorHAnsi" w:hAnsiTheme="minorHAnsi"/>
              <w:color w:val="275317" w:themeColor="accent6" w:themeShade="80"/>
              <w:sz w:val="12"/>
              <w:szCs w:val="12"/>
            </w:rPr>
          </w:pPr>
          <w:r w:rsidRPr="00DD4490">
            <w:rPr>
              <w:rFonts w:asciiTheme="minorHAnsi" w:hAnsiTheme="minorHAnsi"/>
              <w:color w:val="275317" w:themeColor="accent6" w:themeShade="80"/>
              <w:sz w:val="12"/>
              <w:szCs w:val="12"/>
            </w:rPr>
            <w:t>001</w:t>
          </w:r>
        </w:p>
      </w:tc>
      <w:tc>
        <w:tcPr>
          <w:tcW w:w="6379" w:type="dxa"/>
          <w:vMerge/>
        </w:tcPr>
        <w:p w14:paraId="4144DE04" w14:textId="77777777" w:rsidR="00793BA0" w:rsidRPr="00793BA0" w:rsidRDefault="00793BA0" w:rsidP="00CA549D">
          <w:pPr>
            <w:pStyle w:val="Koptekst"/>
            <w:tabs>
              <w:tab w:val="clear" w:pos="9072"/>
              <w:tab w:val="right" w:pos="9781"/>
            </w:tabs>
            <w:ind w:right="-284"/>
            <w:rPr>
              <w:color w:val="275317" w:themeColor="accent6" w:themeShade="80"/>
            </w:rPr>
          </w:pPr>
        </w:p>
      </w:tc>
      <w:tc>
        <w:tcPr>
          <w:tcW w:w="1984" w:type="dxa"/>
          <w:vMerge/>
        </w:tcPr>
        <w:p w14:paraId="0A060FB4" w14:textId="77777777" w:rsidR="00793BA0" w:rsidRPr="00793BA0" w:rsidRDefault="00793BA0" w:rsidP="00CA549D">
          <w:pPr>
            <w:pStyle w:val="Koptekst"/>
            <w:tabs>
              <w:tab w:val="clear" w:pos="9072"/>
              <w:tab w:val="right" w:pos="9781"/>
            </w:tabs>
            <w:ind w:right="-284"/>
            <w:rPr>
              <w:color w:val="275317" w:themeColor="accent6" w:themeShade="80"/>
            </w:rPr>
          </w:pPr>
        </w:p>
      </w:tc>
    </w:tr>
    <w:tr w:rsidR="007A06F0" w14:paraId="788F73CD" w14:textId="77777777" w:rsidTr="006F3047">
      <w:trPr>
        <w:trHeight w:val="50"/>
      </w:trPr>
      <w:tc>
        <w:tcPr>
          <w:tcW w:w="1135" w:type="dxa"/>
          <w:vAlign w:val="center"/>
        </w:tcPr>
        <w:p w14:paraId="6BBC9107" w14:textId="4E7BF943" w:rsidR="00793BA0" w:rsidRPr="00DD4490" w:rsidRDefault="005E4655" w:rsidP="007B6B8E">
          <w:pPr>
            <w:pStyle w:val="Koptekst"/>
            <w:tabs>
              <w:tab w:val="clear" w:pos="9072"/>
              <w:tab w:val="right" w:pos="9781"/>
            </w:tabs>
            <w:ind w:right="-284"/>
            <w:rPr>
              <w:rFonts w:asciiTheme="minorHAnsi" w:hAnsiTheme="minorHAnsi"/>
              <w:color w:val="275317" w:themeColor="accent6" w:themeShade="80"/>
              <w:sz w:val="12"/>
              <w:szCs w:val="12"/>
            </w:rPr>
          </w:pPr>
          <w:r w:rsidRPr="00DD4490">
            <w:rPr>
              <w:rFonts w:asciiTheme="minorHAnsi" w:hAnsiTheme="minorHAnsi"/>
              <w:color w:val="275317" w:themeColor="accent6" w:themeShade="80"/>
              <w:sz w:val="12"/>
              <w:szCs w:val="12"/>
            </w:rPr>
            <w:t>Revision date</w:t>
          </w:r>
        </w:p>
      </w:tc>
      <w:tc>
        <w:tcPr>
          <w:tcW w:w="992" w:type="dxa"/>
          <w:vAlign w:val="center"/>
        </w:tcPr>
        <w:p w14:paraId="680AD5C1" w14:textId="4E225489" w:rsidR="00793BA0" w:rsidRPr="00942D7C" w:rsidRDefault="00793BA0" w:rsidP="007A06F0">
          <w:pPr>
            <w:pStyle w:val="Koptekst"/>
            <w:tabs>
              <w:tab w:val="clear" w:pos="9072"/>
              <w:tab w:val="right" w:pos="9781"/>
            </w:tabs>
            <w:ind w:right="-284"/>
            <w:rPr>
              <w:color w:val="275317" w:themeColor="accent6" w:themeShade="80"/>
              <w:sz w:val="12"/>
              <w:szCs w:val="12"/>
            </w:rPr>
          </w:pPr>
        </w:p>
      </w:tc>
      <w:tc>
        <w:tcPr>
          <w:tcW w:w="6379" w:type="dxa"/>
          <w:vMerge/>
        </w:tcPr>
        <w:p w14:paraId="49F072B2" w14:textId="77777777" w:rsidR="00793BA0" w:rsidRPr="00793BA0" w:rsidRDefault="00793BA0" w:rsidP="00CA549D">
          <w:pPr>
            <w:pStyle w:val="Koptekst"/>
            <w:tabs>
              <w:tab w:val="clear" w:pos="9072"/>
              <w:tab w:val="right" w:pos="9781"/>
            </w:tabs>
            <w:ind w:right="-284"/>
            <w:rPr>
              <w:color w:val="275317" w:themeColor="accent6" w:themeShade="80"/>
            </w:rPr>
          </w:pPr>
        </w:p>
      </w:tc>
      <w:tc>
        <w:tcPr>
          <w:tcW w:w="1984" w:type="dxa"/>
          <w:vMerge/>
        </w:tcPr>
        <w:p w14:paraId="286CFF6B" w14:textId="77777777" w:rsidR="00793BA0" w:rsidRPr="00793BA0" w:rsidRDefault="00793BA0" w:rsidP="00CA549D">
          <w:pPr>
            <w:pStyle w:val="Koptekst"/>
            <w:tabs>
              <w:tab w:val="clear" w:pos="9072"/>
              <w:tab w:val="right" w:pos="9781"/>
            </w:tabs>
            <w:ind w:right="-284"/>
            <w:rPr>
              <w:color w:val="275317" w:themeColor="accent6" w:themeShade="80"/>
            </w:rPr>
          </w:pPr>
        </w:p>
      </w:tc>
    </w:tr>
    <w:tr w:rsidR="00793BA0" w14:paraId="63F44022" w14:textId="77777777" w:rsidTr="006F3047">
      <w:trPr>
        <w:trHeight w:val="50"/>
      </w:trPr>
      <w:tc>
        <w:tcPr>
          <w:tcW w:w="1135" w:type="dxa"/>
          <w:vAlign w:val="center"/>
        </w:tcPr>
        <w:p w14:paraId="6B5E6DE2" w14:textId="3B68CE22" w:rsidR="00793BA0" w:rsidRPr="00DD4490" w:rsidRDefault="00793BA0" w:rsidP="007B6B8E">
          <w:pPr>
            <w:pStyle w:val="Koptekst"/>
            <w:tabs>
              <w:tab w:val="clear" w:pos="9072"/>
              <w:tab w:val="right" w:pos="9781"/>
            </w:tabs>
            <w:ind w:right="-284"/>
            <w:rPr>
              <w:rFonts w:asciiTheme="minorHAnsi" w:hAnsiTheme="minorHAnsi"/>
              <w:color w:val="275317" w:themeColor="accent6" w:themeShade="80"/>
              <w:sz w:val="12"/>
              <w:szCs w:val="12"/>
            </w:rPr>
          </w:pPr>
          <w:r w:rsidRPr="00DD4490">
            <w:rPr>
              <w:rFonts w:asciiTheme="minorHAnsi" w:hAnsiTheme="minorHAnsi"/>
              <w:color w:val="275317" w:themeColor="accent6" w:themeShade="80"/>
              <w:sz w:val="12"/>
              <w:szCs w:val="12"/>
            </w:rPr>
            <w:t>Change log:</w:t>
          </w:r>
        </w:p>
      </w:tc>
      <w:tc>
        <w:tcPr>
          <w:tcW w:w="9355" w:type="dxa"/>
          <w:gridSpan w:val="3"/>
          <w:vAlign w:val="center"/>
        </w:tcPr>
        <w:p w14:paraId="2C2A0AFC" w14:textId="0B725FF2" w:rsidR="00793BA0" w:rsidRPr="00D87210" w:rsidRDefault="00D87210" w:rsidP="007A06F0">
          <w:pPr>
            <w:pStyle w:val="Koptekst"/>
            <w:tabs>
              <w:tab w:val="clear" w:pos="9072"/>
              <w:tab w:val="right" w:pos="9781"/>
            </w:tabs>
            <w:ind w:right="-284"/>
            <w:rPr>
              <w:rFonts w:asciiTheme="minorHAnsi" w:hAnsiTheme="minorHAnsi"/>
              <w:color w:val="275317" w:themeColor="accent6" w:themeShade="80"/>
              <w:sz w:val="12"/>
              <w:szCs w:val="12"/>
            </w:rPr>
          </w:pPr>
          <w:r w:rsidRPr="00D87210">
            <w:rPr>
              <w:rFonts w:asciiTheme="minorHAnsi" w:hAnsiTheme="minorHAnsi"/>
              <w:color w:val="275317" w:themeColor="accent6" w:themeShade="80"/>
              <w:sz w:val="12"/>
              <w:szCs w:val="12"/>
            </w:rPr>
            <w:t>Initial version</w:t>
          </w:r>
        </w:p>
      </w:tc>
    </w:tr>
  </w:tbl>
  <w:p w14:paraId="721EC1EF" w14:textId="3866FC6C" w:rsidR="000F3BBA" w:rsidRDefault="007A06F0" w:rsidP="003E2BA2">
    <w:pPr>
      <w:pStyle w:val="Koptekst"/>
      <w:tabs>
        <w:tab w:val="clear" w:pos="9072"/>
        <w:tab w:val="right" w:pos="9781"/>
      </w:tabs>
      <w:ind w:left="-426" w:right="-284"/>
    </w:pPr>
    <w:r>
      <w:rPr>
        <w:noProof/>
      </w:rPr>
      <mc:AlternateContent>
        <mc:Choice Requires="wps">
          <w:drawing>
            <wp:anchor distT="0" distB="0" distL="114300" distR="114300" simplePos="0" relativeHeight="251672576" behindDoc="0" locked="0" layoutInCell="1" allowOverlap="1" wp14:anchorId="528ACB27" wp14:editId="783D1076">
              <wp:simplePos x="0" y="0"/>
              <wp:positionH relativeFrom="column">
                <wp:posOffset>-226794</wp:posOffset>
              </wp:positionH>
              <wp:positionV relativeFrom="paragraph">
                <wp:posOffset>54915</wp:posOffset>
              </wp:positionV>
              <wp:extent cx="6728382" cy="0"/>
              <wp:effectExtent l="0" t="0" r="0" b="0"/>
              <wp:wrapNone/>
              <wp:docPr id="1269961722" name="Rechte verbindingslijn 3"/>
              <wp:cNvGraphicFramePr/>
              <a:graphic xmlns:a="http://schemas.openxmlformats.org/drawingml/2006/main">
                <a:graphicData uri="http://schemas.microsoft.com/office/word/2010/wordprocessingShape">
                  <wps:wsp>
                    <wps:cNvCnPr/>
                    <wps:spPr>
                      <a:xfrm flipV="1">
                        <a:off x="0" y="0"/>
                        <a:ext cx="6728382"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100E7" id="Rechte verbindingslijn 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4.3pt" to="511.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" strokecolor="#196b24 [3206]" strokeweight=".5pt">
              <v:stroke joinstyle="miter"/>
            </v:line>
          </w:pict>
        </mc:Fallback>
      </mc:AlternateContent>
    </w:r>
    <w:r w:rsidR="00130728">
      <w:t xml:space="preserve">                                                                   </w:t>
    </w:r>
    <w:r w:rsidR="00AC5585">
      <w:tab/>
    </w:r>
    <w:r w:rsidR="00335563">
      <w:tab/>
    </w:r>
    <w:r w:rsidR="0013072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621"/>
    <w:multiLevelType w:val="hybridMultilevel"/>
    <w:tmpl w:val="F70ABCE0"/>
    <w:lvl w:ilvl="0" w:tplc="65968C1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2C5156"/>
    <w:multiLevelType w:val="hybridMultilevel"/>
    <w:tmpl w:val="8E70D84A"/>
    <w:lvl w:ilvl="0" w:tplc="04090003">
      <w:start w:val="1"/>
      <w:numFmt w:val="bullet"/>
      <w:lvlText w:val="o"/>
      <w:lvlJc w:val="left"/>
      <w:pPr>
        <w:ind w:left="294" w:hanging="360"/>
      </w:pPr>
      <w:rPr>
        <w:rFonts w:ascii="Courier New" w:hAnsi="Courier New" w:cs="Courier New"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2" w15:restartNumberingAfterBreak="0">
    <w:nsid w:val="385E39D6"/>
    <w:multiLevelType w:val="hybridMultilevel"/>
    <w:tmpl w:val="4764360A"/>
    <w:lvl w:ilvl="0" w:tplc="0413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6D06696"/>
    <w:multiLevelType w:val="hybridMultilevel"/>
    <w:tmpl w:val="9C04F202"/>
    <w:lvl w:ilvl="0" w:tplc="E1DEA8D0">
      <w:start w:val="2"/>
      <w:numFmt w:val="bullet"/>
      <w:lvlText w:val="-"/>
      <w:lvlJc w:val="left"/>
      <w:pPr>
        <w:ind w:left="1998" w:hanging="360"/>
      </w:pPr>
      <w:rPr>
        <w:rFonts w:ascii="Times New Roman" w:eastAsia="Times New Roman" w:hAnsi="Times New Roman" w:cs="Times New Roman" w:hint="default"/>
      </w:rPr>
    </w:lvl>
    <w:lvl w:ilvl="1" w:tplc="04130003" w:tentative="1">
      <w:start w:val="1"/>
      <w:numFmt w:val="bullet"/>
      <w:lvlText w:val="o"/>
      <w:lvlJc w:val="left"/>
      <w:pPr>
        <w:ind w:left="2718" w:hanging="360"/>
      </w:pPr>
      <w:rPr>
        <w:rFonts w:ascii="Courier New" w:hAnsi="Courier New" w:cs="Courier New" w:hint="default"/>
      </w:rPr>
    </w:lvl>
    <w:lvl w:ilvl="2" w:tplc="04130005" w:tentative="1">
      <w:start w:val="1"/>
      <w:numFmt w:val="bullet"/>
      <w:lvlText w:val=""/>
      <w:lvlJc w:val="left"/>
      <w:pPr>
        <w:ind w:left="3438" w:hanging="360"/>
      </w:pPr>
      <w:rPr>
        <w:rFonts w:ascii="Wingdings" w:hAnsi="Wingdings" w:hint="default"/>
      </w:rPr>
    </w:lvl>
    <w:lvl w:ilvl="3" w:tplc="04130001" w:tentative="1">
      <w:start w:val="1"/>
      <w:numFmt w:val="bullet"/>
      <w:lvlText w:val=""/>
      <w:lvlJc w:val="left"/>
      <w:pPr>
        <w:ind w:left="4158" w:hanging="360"/>
      </w:pPr>
      <w:rPr>
        <w:rFonts w:ascii="Symbol" w:hAnsi="Symbol" w:hint="default"/>
      </w:rPr>
    </w:lvl>
    <w:lvl w:ilvl="4" w:tplc="04130003" w:tentative="1">
      <w:start w:val="1"/>
      <w:numFmt w:val="bullet"/>
      <w:lvlText w:val="o"/>
      <w:lvlJc w:val="left"/>
      <w:pPr>
        <w:ind w:left="4878" w:hanging="360"/>
      </w:pPr>
      <w:rPr>
        <w:rFonts w:ascii="Courier New" w:hAnsi="Courier New" w:cs="Courier New" w:hint="default"/>
      </w:rPr>
    </w:lvl>
    <w:lvl w:ilvl="5" w:tplc="04130005" w:tentative="1">
      <w:start w:val="1"/>
      <w:numFmt w:val="bullet"/>
      <w:lvlText w:val=""/>
      <w:lvlJc w:val="left"/>
      <w:pPr>
        <w:ind w:left="5598" w:hanging="360"/>
      </w:pPr>
      <w:rPr>
        <w:rFonts w:ascii="Wingdings" w:hAnsi="Wingdings" w:hint="default"/>
      </w:rPr>
    </w:lvl>
    <w:lvl w:ilvl="6" w:tplc="04130001" w:tentative="1">
      <w:start w:val="1"/>
      <w:numFmt w:val="bullet"/>
      <w:lvlText w:val=""/>
      <w:lvlJc w:val="left"/>
      <w:pPr>
        <w:ind w:left="6318" w:hanging="360"/>
      </w:pPr>
      <w:rPr>
        <w:rFonts w:ascii="Symbol" w:hAnsi="Symbol" w:hint="default"/>
      </w:rPr>
    </w:lvl>
    <w:lvl w:ilvl="7" w:tplc="04130003" w:tentative="1">
      <w:start w:val="1"/>
      <w:numFmt w:val="bullet"/>
      <w:lvlText w:val="o"/>
      <w:lvlJc w:val="left"/>
      <w:pPr>
        <w:ind w:left="7038" w:hanging="360"/>
      </w:pPr>
      <w:rPr>
        <w:rFonts w:ascii="Courier New" w:hAnsi="Courier New" w:cs="Courier New" w:hint="default"/>
      </w:rPr>
    </w:lvl>
    <w:lvl w:ilvl="8" w:tplc="04130005" w:tentative="1">
      <w:start w:val="1"/>
      <w:numFmt w:val="bullet"/>
      <w:lvlText w:val=""/>
      <w:lvlJc w:val="left"/>
      <w:pPr>
        <w:ind w:left="7758" w:hanging="360"/>
      </w:pPr>
      <w:rPr>
        <w:rFonts w:ascii="Wingdings" w:hAnsi="Wingdings" w:hint="default"/>
      </w:rPr>
    </w:lvl>
  </w:abstractNum>
  <w:abstractNum w:abstractNumId="4" w15:restartNumberingAfterBreak="0">
    <w:nsid w:val="54DD7C23"/>
    <w:multiLevelType w:val="hybridMultilevel"/>
    <w:tmpl w:val="83B423A4"/>
    <w:lvl w:ilvl="0" w:tplc="7A7EB6AC">
      <w:numFmt w:val="bullet"/>
      <w:lvlText w:val="-"/>
      <w:lvlJc w:val="left"/>
      <w:pPr>
        <w:ind w:left="-66" w:hanging="360"/>
      </w:pPr>
      <w:rPr>
        <w:rFonts w:ascii="Aptos" w:eastAsia="Times New Roman" w:hAnsi="Aptos" w:cs="Times New Roman" w:hint="default"/>
      </w:rPr>
    </w:lvl>
    <w:lvl w:ilvl="1" w:tplc="04130003">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5" w15:restartNumberingAfterBreak="0">
    <w:nsid w:val="56930949"/>
    <w:multiLevelType w:val="hybridMultilevel"/>
    <w:tmpl w:val="17B857A0"/>
    <w:lvl w:ilvl="0" w:tplc="E1DEA8D0">
      <w:start w:val="2"/>
      <w:numFmt w:val="bullet"/>
      <w:lvlText w:val="-"/>
      <w:lvlJc w:val="left"/>
      <w:pPr>
        <w:ind w:left="294" w:hanging="360"/>
      </w:pPr>
      <w:rPr>
        <w:rFonts w:ascii="Times New Roman" w:eastAsia="Times New Roman" w:hAnsi="Times New Roman" w:cs="Times New Roman"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6" w15:restartNumberingAfterBreak="0">
    <w:nsid w:val="630D4112"/>
    <w:multiLevelType w:val="hybridMultilevel"/>
    <w:tmpl w:val="0C64B740"/>
    <w:lvl w:ilvl="0" w:tplc="E1DEA8D0">
      <w:start w:val="2"/>
      <w:numFmt w:val="bullet"/>
      <w:lvlText w:val="-"/>
      <w:lvlJc w:val="left"/>
      <w:pPr>
        <w:ind w:left="1428" w:hanging="360"/>
      </w:pPr>
      <w:rPr>
        <w:rFonts w:ascii="Times New Roman" w:eastAsia="Times New Roman" w:hAnsi="Times New Roman"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69DA0BCC"/>
    <w:multiLevelType w:val="hybridMultilevel"/>
    <w:tmpl w:val="0D5AB6A2"/>
    <w:lvl w:ilvl="0" w:tplc="04090003">
      <w:start w:val="1"/>
      <w:numFmt w:val="bullet"/>
      <w:lvlText w:val="o"/>
      <w:lvlJc w:val="left"/>
      <w:pPr>
        <w:ind w:left="3270" w:hanging="360"/>
      </w:pPr>
      <w:rPr>
        <w:rFonts w:ascii="Courier New" w:hAnsi="Courier New" w:cs="Courier New" w:hint="default"/>
      </w:rPr>
    </w:lvl>
    <w:lvl w:ilvl="1" w:tplc="FFFFFFFF" w:tentative="1">
      <w:start w:val="1"/>
      <w:numFmt w:val="bullet"/>
      <w:lvlText w:val="o"/>
      <w:lvlJc w:val="left"/>
      <w:pPr>
        <w:ind w:left="3990" w:hanging="360"/>
      </w:pPr>
      <w:rPr>
        <w:rFonts w:ascii="Courier New" w:hAnsi="Courier New" w:cs="Courier New" w:hint="default"/>
      </w:rPr>
    </w:lvl>
    <w:lvl w:ilvl="2" w:tplc="FFFFFFFF" w:tentative="1">
      <w:start w:val="1"/>
      <w:numFmt w:val="bullet"/>
      <w:lvlText w:val=""/>
      <w:lvlJc w:val="left"/>
      <w:pPr>
        <w:ind w:left="4710" w:hanging="360"/>
      </w:pPr>
      <w:rPr>
        <w:rFonts w:ascii="Wingdings" w:hAnsi="Wingdings" w:hint="default"/>
      </w:rPr>
    </w:lvl>
    <w:lvl w:ilvl="3" w:tplc="FFFFFFFF" w:tentative="1">
      <w:start w:val="1"/>
      <w:numFmt w:val="bullet"/>
      <w:lvlText w:val=""/>
      <w:lvlJc w:val="left"/>
      <w:pPr>
        <w:ind w:left="5430" w:hanging="360"/>
      </w:pPr>
      <w:rPr>
        <w:rFonts w:ascii="Symbol" w:hAnsi="Symbol" w:hint="default"/>
      </w:rPr>
    </w:lvl>
    <w:lvl w:ilvl="4" w:tplc="FFFFFFFF" w:tentative="1">
      <w:start w:val="1"/>
      <w:numFmt w:val="bullet"/>
      <w:lvlText w:val="o"/>
      <w:lvlJc w:val="left"/>
      <w:pPr>
        <w:ind w:left="6150" w:hanging="360"/>
      </w:pPr>
      <w:rPr>
        <w:rFonts w:ascii="Courier New" w:hAnsi="Courier New" w:cs="Courier New" w:hint="default"/>
      </w:rPr>
    </w:lvl>
    <w:lvl w:ilvl="5" w:tplc="FFFFFFFF" w:tentative="1">
      <w:start w:val="1"/>
      <w:numFmt w:val="bullet"/>
      <w:lvlText w:val=""/>
      <w:lvlJc w:val="left"/>
      <w:pPr>
        <w:ind w:left="6870" w:hanging="360"/>
      </w:pPr>
      <w:rPr>
        <w:rFonts w:ascii="Wingdings" w:hAnsi="Wingdings" w:hint="default"/>
      </w:rPr>
    </w:lvl>
    <w:lvl w:ilvl="6" w:tplc="FFFFFFFF" w:tentative="1">
      <w:start w:val="1"/>
      <w:numFmt w:val="bullet"/>
      <w:lvlText w:val=""/>
      <w:lvlJc w:val="left"/>
      <w:pPr>
        <w:ind w:left="7590" w:hanging="360"/>
      </w:pPr>
      <w:rPr>
        <w:rFonts w:ascii="Symbol" w:hAnsi="Symbol" w:hint="default"/>
      </w:rPr>
    </w:lvl>
    <w:lvl w:ilvl="7" w:tplc="FFFFFFFF" w:tentative="1">
      <w:start w:val="1"/>
      <w:numFmt w:val="bullet"/>
      <w:lvlText w:val="o"/>
      <w:lvlJc w:val="left"/>
      <w:pPr>
        <w:ind w:left="8310" w:hanging="360"/>
      </w:pPr>
      <w:rPr>
        <w:rFonts w:ascii="Courier New" w:hAnsi="Courier New" w:cs="Courier New" w:hint="default"/>
      </w:rPr>
    </w:lvl>
    <w:lvl w:ilvl="8" w:tplc="FFFFFFFF" w:tentative="1">
      <w:start w:val="1"/>
      <w:numFmt w:val="bullet"/>
      <w:lvlText w:val=""/>
      <w:lvlJc w:val="left"/>
      <w:pPr>
        <w:ind w:left="9030" w:hanging="360"/>
      </w:pPr>
      <w:rPr>
        <w:rFonts w:ascii="Wingdings" w:hAnsi="Wingdings" w:hint="default"/>
      </w:rPr>
    </w:lvl>
  </w:abstractNum>
  <w:abstractNum w:abstractNumId="8" w15:restartNumberingAfterBreak="0">
    <w:nsid w:val="6A5C1C7C"/>
    <w:multiLevelType w:val="hybridMultilevel"/>
    <w:tmpl w:val="FB766BAC"/>
    <w:lvl w:ilvl="0" w:tplc="0413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604580">
    <w:abstractNumId w:val="2"/>
  </w:num>
  <w:num w:numId="2" w16cid:durableId="1809476334">
    <w:abstractNumId w:val="8"/>
  </w:num>
  <w:num w:numId="3" w16cid:durableId="856843607">
    <w:abstractNumId w:val="0"/>
  </w:num>
  <w:num w:numId="4" w16cid:durableId="1035033837">
    <w:abstractNumId w:val="4"/>
  </w:num>
  <w:num w:numId="5" w16cid:durableId="417098667">
    <w:abstractNumId w:val="5"/>
  </w:num>
  <w:num w:numId="6" w16cid:durableId="983503725">
    <w:abstractNumId w:val="6"/>
  </w:num>
  <w:num w:numId="7" w16cid:durableId="337538286">
    <w:abstractNumId w:val="3"/>
  </w:num>
  <w:num w:numId="8" w16cid:durableId="898900133">
    <w:abstractNumId w:val="7"/>
  </w:num>
  <w:num w:numId="9" w16cid:durableId="34197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formatting="1" w:enforcement="1" w:cryptProviderType="rsaAES" w:cryptAlgorithmClass="hash" w:cryptAlgorithmType="typeAny" w:cryptAlgorithmSid="14" w:cryptSpinCount="100000" w:hash="yrR2ngSuwKZhckIofgekgjXRUB0rWsm2j6lVqt1GqqoDFp8ErTOPCuqgUsj6NeOjBx7caakNo5RgloJ2Pe5H2g==" w:salt="YxDV0I6HpcVMGI8H6p8QM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28"/>
    <w:rsid w:val="000030B9"/>
    <w:rsid w:val="00017C75"/>
    <w:rsid w:val="000344C9"/>
    <w:rsid w:val="00043EAE"/>
    <w:rsid w:val="00051BF2"/>
    <w:rsid w:val="00052FD5"/>
    <w:rsid w:val="00090C0D"/>
    <w:rsid w:val="000A0031"/>
    <w:rsid w:val="000C069D"/>
    <w:rsid w:val="000C51EE"/>
    <w:rsid w:val="000D186D"/>
    <w:rsid w:val="000D4CB3"/>
    <w:rsid w:val="000F3BBA"/>
    <w:rsid w:val="0010356A"/>
    <w:rsid w:val="00124A1B"/>
    <w:rsid w:val="00130728"/>
    <w:rsid w:val="00130825"/>
    <w:rsid w:val="0015077F"/>
    <w:rsid w:val="001610B8"/>
    <w:rsid w:val="001664CA"/>
    <w:rsid w:val="00177CD9"/>
    <w:rsid w:val="00181CA9"/>
    <w:rsid w:val="00190B55"/>
    <w:rsid w:val="001953B5"/>
    <w:rsid w:val="001C10F1"/>
    <w:rsid w:val="001C6A4B"/>
    <w:rsid w:val="001E19AC"/>
    <w:rsid w:val="001F50DB"/>
    <w:rsid w:val="0021780A"/>
    <w:rsid w:val="00261DF2"/>
    <w:rsid w:val="00262B6E"/>
    <w:rsid w:val="00296CDB"/>
    <w:rsid w:val="002A3E55"/>
    <w:rsid w:val="002C7F02"/>
    <w:rsid w:val="002D253E"/>
    <w:rsid w:val="002D495F"/>
    <w:rsid w:val="002D5546"/>
    <w:rsid w:val="002E591E"/>
    <w:rsid w:val="002E7BC6"/>
    <w:rsid w:val="002F62A9"/>
    <w:rsid w:val="0030452B"/>
    <w:rsid w:val="00335563"/>
    <w:rsid w:val="003870BE"/>
    <w:rsid w:val="003B66EC"/>
    <w:rsid w:val="003D74AF"/>
    <w:rsid w:val="003E006D"/>
    <w:rsid w:val="003E227F"/>
    <w:rsid w:val="003E2BA2"/>
    <w:rsid w:val="003E4835"/>
    <w:rsid w:val="003F254C"/>
    <w:rsid w:val="003F2A80"/>
    <w:rsid w:val="003F3190"/>
    <w:rsid w:val="00413045"/>
    <w:rsid w:val="004141FE"/>
    <w:rsid w:val="004303C0"/>
    <w:rsid w:val="00444DF8"/>
    <w:rsid w:val="00460AFD"/>
    <w:rsid w:val="004802B6"/>
    <w:rsid w:val="004922B3"/>
    <w:rsid w:val="0049260A"/>
    <w:rsid w:val="004A290B"/>
    <w:rsid w:val="004A7F9E"/>
    <w:rsid w:val="004B7C7D"/>
    <w:rsid w:val="004D31B2"/>
    <w:rsid w:val="004E0716"/>
    <w:rsid w:val="004E4D78"/>
    <w:rsid w:val="004E7254"/>
    <w:rsid w:val="00506C33"/>
    <w:rsid w:val="00516C3D"/>
    <w:rsid w:val="005235A3"/>
    <w:rsid w:val="0052580D"/>
    <w:rsid w:val="00535B2E"/>
    <w:rsid w:val="00546E01"/>
    <w:rsid w:val="005632E4"/>
    <w:rsid w:val="0059599B"/>
    <w:rsid w:val="005B0EBB"/>
    <w:rsid w:val="005C5513"/>
    <w:rsid w:val="005C7794"/>
    <w:rsid w:val="005D0E3C"/>
    <w:rsid w:val="005D5D32"/>
    <w:rsid w:val="005D6142"/>
    <w:rsid w:val="005E0008"/>
    <w:rsid w:val="005E4655"/>
    <w:rsid w:val="00612F80"/>
    <w:rsid w:val="006207AE"/>
    <w:rsid w:val="00622B30"/>
    <w:rsid w:val="00626790"/>
    <w:rsid w:val="00634BDA"/>
    <w:rsid w:val="00636149"/>
    <w:rsid w:val="00637172"/>
    <w:rsid w:val="00663A67"/>
    <w:rsid w:val="00664AF8"/>
    <w:rsid w:val="006A67FB"/>
    <w:rsid w:val="006A6974"/>
    <w:rsid w:val="006D2DB8"/>
    <w:rsid w:val="006E6044"/>
    <w:rsid w:val="006E604D"/>
    <w:rsid w:val="006E689F"/>
    <w:rsid w:val="006F3047"/>
    <w:rsid w:val="006F52A1"/>
    <w:rsid w:val="007076EB"/>
    <w:rsid w:val="0072050A"/>
    <w:rsid w:val="00735901"/>
    <w:rsid w:val="007476D3"/>
    <w:rsid w:val="0075252F"/>
    <w:rsid w:val="007550A9"/>
    <w:rsid w:val="00771E29"/>
    <w:rsid w:val="007848DF"/>
    <w:rsid w:val="00793BA0"/>
    <w:rsid w:val="00794D88"/>
    <w:rsid w:val="007A06F0"/>
    <w:rsid w:val="007A60E6"/>
    <w:rsid w:val="007B3D02"/>
    <w:rsid w:val="007B6B8E"/>
    <w:rsid w:val="007D08ED"/>
    <w:rsid w:val="007D2C1A"/>
    <w:rsid w:val="007E4C23"/>
    <w:rsid w:val="008251E8"/>
    <w:rsid w:val="00825F24"/>
    <w:rsid w:val="00836441"/>
    <w:rsid w:val="00851445"/>
    <w:rsid w:val="008664DB"/>
    <w:rsid w:val="008D6646"/>
    <w:rsid w:val="008E73FF"/>
    <w:rsid w:val="0090499B"/>
    <w:rsid w:val="00915F84"/>
    <w:rsid w:val="009167E9"/>
    <w:rsid w:val="00923B21"/>
    <w:rsid w:val="00932CDB"/>
    <w:rsid w:val="00942D7C"/>
    <w:rsid w:val="00960EDC"/>
    <w:rsid w:val="00973743"/>
    <w:rsid w:val="00976BAE"/>
    <w:rsid w:val="009B53DA"/>
    <w:rsid w:val="009F3DA6"/>
    <w:rsid w:val="00A01FF9"/>
    <w:rsid w:val="00A0272F"/>
    <w:rsid w:val="00A15643"/>
    <w:rsid w:val="00A16115"/>
    <w:rsid w:val="00A31B6E"/>
    <w:rsid w:val="00A371AF"/>
    <w:rsid w:val="00A40B80"/>
    <w:rsid w:val="00A523C2"/>
    <w:rsid w:val="00A542AD"/>
    <w:rsid w:val="00A63A8E"/>
    <w:rsid w:val="00A72F4F"/>
    <w:rsid w:val="00A742B8"/>
    <w:rsid w:val="00AB497B"/>
    <w:rsid w:val="00AB4CEE"/>
    <w:rsid w:val="00AB6B9A"/>
    <w:rsid w:val="00AC0898"/>
    <w:rsid w:val="00AC19F8"/>
    <w:rsid w:val="00AC5585"/>
    <w:rsid w:val="00B17E6D"/>
    <w:rsid w:val="00B20C97"/>
    <w:rsid w:val="00B22354"/>
    <w:rsid w:val="00B26407"/>
    <w:rsid w:val="00B44431"/>
    <w:rsid w:val="00B61A0C"/>
    <w:rsid w:val="00B651B0"/>
    <w:rsid w:val="00B71E38"/>
    <w:rsid w:val="00B769D9"/>
    <w:rsid w:val="00B80E9A"/>
    <w:rsid w:val="00B9514B"/>
    <w:rsid w:val="00B97567"/>
    <w:rsid w:val="00BA0A40"/>
    <w:rsid w:val="00BA45C0"/>
    <w:rsid w:val="00BB2CA1"/>
    <w:rsid w:val="00BC3585"/>
    <w:rsid w:val="00BD5342"/>
    <w:rsid w:val="00BE21D4"/>
    <w:rsid w:val="00C038D7"/>
    <w:rsid w:val="00C04A13"/>
    <w:rsid w:val="00C1372B"/>
    <w:rsid w:val="00C51A86"/>
    <w:rsid w:val="00C57047"/>
    <w:rsid w:val="00C6349A"/>
    <w:rsid w:val="00C63C46"/>
    <w:rsid w:val="00C751A6"/>
    <w:rsid w:val="00C91393"/>
    <w:rsid w:val="00C960D2"/>
    <w:rsid w:val="00CA549D"/>
    <w:rsid w:val="00CA7343"/>
    <w:rsid w:val="00CB5666"/>
    <w:rsid w:val="00CD3189"/>
    <w:rsid w:val="00CD419E"/>
    <w:rsid w:val="00CE1C02"/>
    <w:rsid w:val="00D27289"/>
    <w:rsid w:val="00D31FA0"/>
    <w:rsid w:val="00D32447"/>
    <w:rsid w:val="00D37F6F"/>
    <w:rsid w:val="00D458C7"/>
    <w:rsid w:val="00D57DF9"/>
    <w:rsid w:val="00D63AB0"/>
    <w:rsid w:val="00D646DE"/>
    <w:rsid w:val="00D67DB5"/>
    <w:rsid w:val="00D716E1"/>
    <w:rsid w:val="00D87210"/>
    <w:rsid w:val="00D878F9"/>
    <w:rsid w:val="00DA573C"/>
    <w:rsid w:val="00DB4818"/>
    <w:rsid w:val="00DB4DE2"/>
    <w:rsid w:val="00DC5324"/>
    <w:rsid w:val="00DD4490"/>
    <w:rsid w:val="00DD571D"/>
    <w:rsid w:val="00DF0ACD"/>
    <w:rsid w:val="00DF25C3"/>
    <w:rsid w:val="00E06200"/>
    <w:rsid w:val="00E16380"/>
    <w:rsid w:val="00E60D31"/>
    <w:rsid w:val="00E71626"/>
    <w:rsid w:val="00E74DB1"/>
    <w:rsid w:val="00E8491B"/>
    <w:rsid w:val="00E91834"/>
    <w:rsid w:val="00E93C3E"/>
    <w:rsid w:val="00EC5F05"/>
    <w:rsid w:val="00ED4682"/>
    <w:rsid w:val="00EE58B0"/>
    <w:rsid w:val="00EE5AE7"/>
    <w:rsid w:val="00EF2549"/>
    <w:rsid w:val="00EF3077"/>
    <w:rsid w:val="00EF3EA0"/>
    <w:rsid w:val="00F046E5"/>
    <w:rsid w:val="00F2477D"/>
    <w:rsid w:val="00F57E6C"/>
    <w:rsid w:val="00F738C4"/>
    <w:rsid w:val="00F85B3B"/>
    <w:rsid w:val="00F87DEF"/>
    <w:rsid w:val="00F95761"/>
    <w:rsid w:val="00FA6481"/>
    <w:rsid w:val="00FA7338"/>
    <w:rsid w:val="00FE0B23"/>
    <w:rsid w:val="00FF50C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3E266"/>
  <w15:chartTrackingRefBased/>
  <w15:docId w15:val="{7DA72410-CFFB-4C5F-AFAD-4DB7ED56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CA9"/>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130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0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07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07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07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072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072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072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072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07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07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07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07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07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07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07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07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0728"/>
    <w:rPr>
      <w:rFonts w:eastAsiaTheme="majorEastAsia" w:cstheme="majorBidi"/>
      <w:color w:val="272727" w:themeColor="text1" w:themeTint="D8"/>
    </w:rPr>
  </w:style>
  <w:style w:type="paragraph" w:styleId="Titel">
    <w:name w:val="Title"/>
    <w:basedOn w:val="Standaard"/>
    <w:next w:val="Standaard"/>
    <w:link w:val="TitelChar"/>
    <w:qFormat/>
    <w:rsid w:val="0013072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07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07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07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0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0728"/>
    <w:rPr>
      <w:i/>
      <w:iCs/>
      <w:color w:val="404040" w:themeColor="text1" w:themeTint="BF"/>
    </w:rPr>
  </w:style>
  <w:style w:type="paragraph" w:styleId="Lijstalinea">
    <w:name w:val="List Paragraph"/>
    <w:basedOn w:val="Standaard"/>
    <w:qFormat/>
    <w:rsid w:val="00130728"/>
    <w:pPr>
      <w:ind w:left="720"/>
      <w:contextualSpacing/>
    </w:pPr>
  </w:style>
  <w:style w:type="character" w:styleId="Intensievebenadrukking">
    <w:name w:val="Intense Emphasis"/>
    <w:basedOn w:val="Standaardalinea-lettertype"/>
    <w:uiPriority w:val="21"/>
    <w:qFormat/>
    <w:rsid w:val="00130728"/>
    <w:rPr>
      <w:i/>
      <w:iCs/>
      <w:color w:val="0F4761" w:themeColor="accent1" w:themeShade="BF"/>
    </w:rPr>
  </w:style>
  <w:style w:type="paragraph" w:styleId="Duidelijkcitaat">
    <w:name w:val="Intense Quote"/>
    <w:basedOn w:val="Standaard"/>
    <w:next w:val="Standaard"/>
    <w:link w:val="DuidelijkcitaatChar"/>
    <w:uiPriority w:val="30"/>
    <w:qFormat/>
    <w:rsid w:val="00130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0728"/>
    <w:rPr>
      <w:i/>
      <w:iCs/>
      <w:color w:val="0F4761" w:themeColor="accent1" w:themeShade="BF"/>
    </w:rPr>
  </w:style>
  <w:style w:type="character" w:styleId="Intensieveverwijzing">
    <w:name w:val="Intense Reference"/>
    <w:basedOn w:val="Standaardalinea-lettertype"/>
    <w:uiPriority w:val="32"/>
    <w:qFormat/>
    <w:rsid w:val="00130728"/>
    <w:rPr>
      <w:b/>
      <w:bCs/>
      <w:smallCaps/>
      <w:color w:val="0F4761" w:themeColor="accent1" w:themeShade="BF"/>
      <w:spacing w:val="5"/>
    </w:rPr>
  </w:style>
  <w:style w:type="paragraph" w:styleId="Koptekst">
    <w:name w:val="header"/>
    <w:basedOn w:val="Standaard"/>
    <w:link w:val="KoptekstChar"/>
    <w:uiPriority w:val="99"/>
    <w:unhideWhenUsed/>
    <w:rsid w:val="00130728"/>
    <w:pPr>
      <w:tabs>
        <w:tab w:val="center" w:pos="4536"/>
        <w:tab w:val="right" w:pos="9072"/>
      </w:tabs>
    </w:pPr>
  </w:style>
  <w:style w:type="character" w:customStyle="1" w:styleId="KoptekstChar">
    <w:name w:val="Koptekst Char"/>
    <w:basedOn w:val="Standaardalinea-lettertype"/>
    <w:link w:val="Koptekst"/>
    <w:uiPriority w:val="99"/>
    <w:rsid w:val="00130728"/>
  </w:style>
  <w:style w:type="paragraph" w:styleId="Voettekst">
    <w:name w:val="footer"/>
    <w:basedOn w:val="Standaard"/>
    <w:link w:val="VoettekstChar"/>
    <w:uiPriority w:val="99"/>
    <w:unhideWhenUsed/>
    <w:rsid w:val="00130728"/>
    <w:pPr>
      <w:tabs>
        <w:tab w:val="center" w:pos="4536"/>
        <w:tab w:val="right" w:pos="9072"/>
      </w:tabs>
    </w:pPr>
  </w:style>
  <w:style w:type="character" w:customStyle="1" w:styleId="VoettekstChar">
    <w:name w:val="Voettekst Char"/>
    <w:basedOn w:val="Standaardalinea-lettertype"/>
    <w:link w:val="Voettekst"/>
    <w:uiPriority w:val="99"/>
    <w:rsid w:val="00130728"/>
  </w:style>
  <w:style w:type="paragraph" w:customStyle="1" w:styleId="adres">
    <w:name w:val="adres"/>
    <w:basedOn w:val="Standaard"/>
    <w:rsid w:val="00DC5324"/>
    <w:pPr>
      <w:ind w:left="2268"/>
    </w:pPr>
    <w:rPr>
      <w:rFonts w:ascii="Open Sans" w:hAnsi="Open Sans"/>
      <w:sz w:val="26"/>
      <w:szCs w:val="20"/>
    </w:rPr>
  </w:style>
  <w:style w:type="table" w:styleId="Tabelraster">
    <w:name w:val="Table Grid"/>
    <w:basedOn w:val="Standaardtabel"/>
    <w:uiPriority w:val="39"/>
    <w:rsid w:val="00DA573C"/>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ard"/>
    <w:uiPriority w:val="40"/>
    <w:qFormat/>
    <w:rsid w:val="00DA573C"/>
    <w:pPr>
      <w:tabs>
        <w:tab w:val="decimal" w:pos="360"/>
      </w:tabs>
      <w:spacing w:after="200" w:line="276" w:lineRule="auto"/>
    </w:pPr>
    <w:rPr>
      <w:rFonts w:eastAsiaTheme="minorEastAsia"/>
      <w:sz w:val="22"/>
      <w:szCs w:val="22"/>
    </w:rPr>
  </w:style>
  <w:style w:type="paragraph" w:styleId="Voetnoottekst">
    <w:name w:val="footnote text"/>
    <w:basedOn w:val="Standaard"/>
    <w:link w:val="VoetnoottekstChar"/>
    <w:uiPriority w:val="99"/>
    <w:unhideWhenUsed/>
    <w:rsid w:val="00DA573C"/>
    <w:rPr>
      <w:rFonts w:eastAsiaTheme="minorEastAsia"/>
      <w:sz w:val="20"/>
      <w:szCs w:val="20"/>
    </w:rPr>
  </w:style>
  <w:style w:type="character" w:customStyle="1" w:styleId="VoetnoottekstChar">
    <w:name w:val="Voetnoottekst Char"/>
    <w:basedOn w:val="Standaardalinea-lettertype"/>
    <w:link w:val="Voetnoottekst"/>
    <w:uiPriority w:val="99"/>
    <w:rsid w:val="00DA573C"/>
    <w:rPr>
      <w:rFonts w:eastAsiaTheme="minorEastAsia" w:cs="Times New Roman"/>
      <w:kern w:val="0"/>
      <w:sz w:val="20"/>
      <w:szCs w:val="20"/>
      <w:lang w:eastAsia="nl-NL"/>
      <w14:ligatures w14:val="none"/>
    </w:rPr>
  </w:style>
  <w:style w:type="character" w:styleId="Subtielebenadrukking">
    <w:name w:val="Subtle Emphasis"/>
    <w:basedOn w:val="Standaardalinea-lettertype"/>
    <w:uiPriority w:val="19"/>
    <w:qFormat/>
    <w:rsid w:val="00DA573C"/>
    <w:rPr>
      <w:i/>
      <w:iCs/>
    </w:rPr>
  </w:style>
  <w:style w:type="table" w:styleId="Lichtearcering-accent1">
    <w:name w:val="Light Shading Accent 1"/>
    <w:basedOn w:val="Standaardtabel"/>
    <w:uiPriority w:val="60"/>
    <w:rsid w:val="00DA573C"/>
    <w:pPr>
      <w:spacing w:after="0" w:line="240" w:lineRule="auto"/>
    </w:pPr>
    <w:rPr>
      <w:rFonts w:eastAsiaTheme="minorEastAsia"/>
      <w:color w:val="0F4761" w:themeColor="accent1" w:themeShade="BF"/>
      <w:kern w:val="0"/>
      <w:sz w:val="22"/>
      <w:szCs w:val="22"/>
      <w:lang w:eastAsia="nl-NL"/>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paragraph" w:customStyle="1" w:styleId="Stijl1">
    <w:name w:val="Stijl1"/>
    <w:basedOn w:val="Standaard"/>
    <w:link w:val="Stijl1Char"/>
    <w:qFormat/>
    <w:rsid w:val="00AB4CEE"/>
  </w:style>
  <w:style w:type="character" w:customStyle="1" w:styleId="Stijl1Char">
    <w:name w:val="Stijl1 Char"/>
    <w:basedOn w:val="Standaardalinea-lettertype"/>
    <w:link w:val="Stijl1"/>
    <w:rsid w:val="00AB4CEE"/>
  </w:style>
  <w:style w:type="paragraph" w:styleId="Normaalweb">
    <w:name w:val="Normal (Web)"/>
    <w:basedOn w:val="Standaard"/>
    <w:uiPriority w:val="99"/>
    <w:semiHidden/>
    <w:unhideWhenUsed/>
    <w:rsid w:val="002E7BC6"/>
    <w:pPr>
      <w:spacing w:before="100" w:beforeAutospacing="1" w:after="100" w:afterAutospacing="1"/>
    </w:pPr>
  </w:style>
  <w:style w:type="character" w:styleId="Verwijzingopmerking">
    <w:name w:val="annotation reference"/>
    <w:basedOn w:val="Standaardalinea-lettertype"/>
    <w:uiPriority w:val="99"/>
    <w:semiHidden/>
    <w:unhideWhenUsed/>
    <w:rsid w:val="007B3D02"/>
    <w:rPr>
      <w:sz w:val="16"/>
      <w:szCs w:val="16"/>
    </w:rPr>
  </w:style>
  <w:style w:type="paragraph" w:styleId="Tekstopmerking">
    <w:name w:val="annotation text"/>
    <w:basedOn w:val="Standaard"/>
    <w:link w:val="TekstopmerkingChar"/>
    <w:uiPriority w:val="99"/>
    <w:unhideWhenUsed/>
    <w:rsid w:val="007B3D02"/>
    <w:rPr>
      <w:sz w:val="20"/>
      <w:szCs w:val="20"/>
    </w:rPr>
  </w:style>
  <w:style w:type="character" w:customStyle="1" w:styleId="TekstopmerkingChar">
    <w:name w:val="Tekst opmerking Char"/>
    <w:basedOn w:val="Standaardalinea-lettertype"/>
    <w:link w:val="Tekstopmerking"/>
    <w:uiPriority w:val="99"/>
    <w:rsid w:val="007B3D02"/>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476D3"/>
    <w:rPr>
      <w:b/>
      <w:bCs/>
    </w:rPr>
  </w:style>
  <w:style w:type="character" w:customStyle="1" w:styleId="OnderwerpvanopmerkingChar">
    <w:name w:val="Onderwerp van opmerking Char"/>
    <w:basedOn w:val="TekstopmerkingChar"/>
    <w:link w:val="Onderwerpvanopmerking"/>
    <w:uiPriority w:val="99"/>
    <w:semiHidden/>
    <w:rsid w:val="007476D3"/>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2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dd97a5-1bc8-4ca6-90da-35a44740377c">
      <Terms xmlns="http://schemas.microsoft.com/office/infopath/2007/PartnerControls"/>
    </lcf76f155ced4ddcb4097134ff3c332f>
    <TaxCatchAll xmlns="381f3ee3-0dda-4fa5-8d75-7ac3350020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11D234F4016640A09D63396FC336D8" ma:contentTypeVersion="11" ma:contentTypeDescription="Een nieuw document maken." ma:contentTypeScope="" ma:versionID="7c20a3eab3ed9b910b342b297a55282e">
  <xsd:schema xmlns:xsd="http://www.w3.org/2001/XMLSchema" xmlns:xs="http://www.w3.org/2001/XMLSchema" xmlns:p="http://schemas.microsoft.com/office/2006/metadata/properties" xmlns:ns2="2bdd97a5-1bc8-4ca6-90da-35a44740377c" xmlns:ns3="381f3ee3-0dda-4fa5-8d75-7ac33500202e" targetNamespace="http://schemas.microsoft.com/office/2006/metadata/properties" ma:root="true" ma:fieldsID="8aa250def5285ae716118d3910508c11" ns2:_="" ns3:_="">
    <xsd:import namespace="2bdd97a5-1bc8-4ca6-90da-35a44740377c"/>
    <xsd:import namespace="381f3ee3-0dda-4fa5-8d75-7ac3350020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d97a5-1bc8-4ca6-90da-35a447403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075cca0-8c5a-407c-932f-67bd2178fc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f3ee3-0dda-4fa5-8d75-7ac3350020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97fc32-20fe-4646-b460-939747361392}" ma:internalName="TaxCatchAll" ma:showField="CatchAllData" ma:web="381f3ee3-0dda-4fa5-8d75-7ac335002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CA334-01A6-40D6-A56E-44F82845B619}">
  <ds:schemaRefs>
    <ds:schemaRef ds:uri="http://schemas.openxmlformats.org/officeDocument/2006/bibliography"/>
  </ds:schemaRefs>
</ds:datastoreItem>
</file>

<file path=customXml/itemProps2.xml><?xml version="1.0" encoding="utf-8"?>
<ds:datastoreItem xmlns:ds="http://schemas.openxmlformats.org/officeDocument/2006/customXml" ds:itemID="{5AE8B2BE-1655-4601-AF19-33501F2E9C6C}">
  <ds:schemaRefs>
    <ds:schemaRef ds:uri="http://schemas.microsoft.com/office/2006/metadata/properties"/>
    <ds:schemaRef ds:uri="http://schemas.microsoft.com/office/infopath/2007/PartnerControls"/>
    <ds:schemaRef ds:uri="2bdd97a5-1bc8-4ca6-90da-35a44740377c"/>
    <ds:schemaRef ds:uri="381f3ee3-0dda-4fa5-8d75-7ac33500202e"/>
  </ds:schemaRefs>
</ds:datastoreItem>
</file>

<file path=customXml/itemProps3.xml><?xml version="1.0" encoding="utf-8"?>
<ds:datastoreItem xmlns:ds="http://schemas.openxmlformats.org/officeDocument/2006/customXml" ds:itemID="{AECFE57E-0D08-4AA4-8CE2-C62BA2D1FB91}">
  <ds:schemaRefs>
    <ds:schemaRef ds:uri="http://schemas.microsoft.com/sharepoint/v3/contenttype/forms"/>
  </ds:schemaRefs>
</ds:datastoreItem>
</file>

<file path=customXml/itemProps4.xml><?xml version="1.0" encoding="utf-8"?>
<ds:datastoreItem xmlns:ds="http://schemas.openxmlformats.org/officeDocument/2006/customXml" ds:itemID="{A589A93C-BA64-4401-A719-49F20A3A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d97a5-1bc8-4ca6-90da-35a44740377c"/>
    <ds:schemaRef ds:uri="381f3ee3-0dda-4fa5-8d75-7ac335002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652</Words>
  <Characters>3591</Characters>
  <Application>Microsoft Office Word</Application>
  <DocSecurity>8</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van Eekeren</dc:creator>
  <cp:keywords/>
  <dc:description/>
  <cp:lastModifiedBy>Rik Verdaas</cp:lastModifiedBy>
  <cp:revision>42</cp:revision>
  <cp:lastPrinted>2026-01-05T14:39:00Z</cp:lastPrinted>
  <dcterms:created xsi:type="dcterms:W3CDTF">2025-12-05T08:04:00Z</dcterms:created>
  <dcterms:modified xsi:type="dcterms:W3CDTF">2026-01-20T10:29:00Z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0x0101004611D234F4016640A09D63396FC336D8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