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502F" w14:textId="4A0E0BE8" w:rsidR="001E4CEB" w:rsidRPr="00C617B2" w:rsidRDefault="000765C7" w:rsidP="0088308E">
      <w:pPr>
        <w:pStyle w:val="Titel"/>
        <w:ind w:left="-284"/>
        <w:rPr>
          <w:rFonts w:asciiTheme="minorHAnsi" w:hAnsiTheme="minorHAnsi"/>
          <w:b/>
          <w:bCs/>
          <w:sz w:val="22"/>
          <w:szCs w:val="22"/>
          <w:lang w:val="en-GB"/>
        </w:rPr>
      </w:pPr>
      <w:r w:rsidRPr="00C617B2">
        <w:rPr>
          <w:rFonts w:asciiTheme="minorHAnsi" w:hAnsiTheme="minorHAnsi"/>
          <w:b/>
          <w:bCs/>
          <w:sz w:val="22"/>
          <w:szCs w:val="22"/>
          <w:lang w:val="en-GB"/>
        </w:rPr>
        <w:t>VALX B.V. Warranty Commitment 9 tonne axles and air suspension system</w:t>
      </w:r>
    </w:p>
    <w:p w14:paraId="4AD97862" w14:textId="77777777" w:rsidR="001E4CEB" w:rsidRPr="00C617B2" w:rsidRDefault="001E4CEB" w:rsidP="0088308E">
      <w:pPr>
        <w:pStyle w:val="Titel"/>
        <w:ind w:left="-284"/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1C5A85DE" w14:textId="5AC82252" w:rsidR="000765C7" w:rsidRPr="00C617B2" w:rsidRDefault="000765C7" w:rsidP="0088308E">
      <w:pPr>
        <w:pStyle w:val="Titel"/>
        <w:ind w:left="-284"/>
        <w:rPr>
          <w:rFonts w:asciiTheme="minorHAnsi" w:hAnsiTheme="minorHAnsi"/>
          <w:b/>
          <w:bCs/>
          <w:sz w:val="22"/>
          <w:szCs w:val="22"/>
          <w:lang w:val="en-GB"/>
        </w:rPr>
      </w:pPr>
      <w:r w:rsidRPr="00C617B2">
        <w:rPr>
          <w:rFonts w:asciiTheme="minorHAnsi" w:hAnsiTheme="minorHAnsi"/>
          <w:sz w:val="18"/>
          <w:szCs w:val="18"/>
          <w:lang w:val="en-GB"/>
        </w:rPr>
        <w:t>This document defines the warranty coverage, conditions and limitations applicable to VALX 9 tonne axles and air suspension systems.</w:t>
      </w:r>
    </w:p>
    <w:p w14:paraId="0A14C250" w14:textId="58734AF8" w:rsidR="001E4CEB" w:rsidRPr="00C617B2" w:rsidRDefault="001E4CEB" w:rsidP="0088308E">
      <w:pPr>
        <w:spacing w:after="0"/>
        <w:ind w:left="-284"/>
        <w:rPr>
          <w:b/>
          <w:bCs/>
          <w:sz w:val="20"/>
          <w:szCs w:val="20"/>
          <w:lang w:val="en-US"/>
        </w:rPr>
      </w:pPr>
    </w:p>
    <w:p w14:paraId="228CE322" w14:textId="6767898D" w:rsidR="000765C7" w:rsidRPr="00C617B2" w:rsidRDefault="000765C7" w:rsidP="0088308E">
      <w:pPr>
        <w:spacing w:after="0"/>
        <w:ind w:left="-284"/>
        <w:rPr>
          <w:b/>
          <w:bCs/>
          <w:sz w:val="20"/>
          <w:szCs w:val="20"/>
          <w:lang w:val="en-US"/>
        </w:rPr>
      </w:pPr>
      <w:bookmarkStart w:id="0" w:name="_Hlk218685537"/>
      <w:r w:rsidRPr="00C617B2">
        <w:rPr>
          <w:b/>
          <w:bCs/>
          <w:sz w:val="20"/>
          <w:szCs w:val="20"/>
          <w:lang w:val="en-US"/>
        </w:rPr>
        <w:t>Definitions:</w:t>
      </w:r>
    </w:p>
    <w:p w14:paraId="11F246A7" w14:textId="5BE2998C" w:rsidR="000765C7" w:rsidRPr="00C617B2" w:rsidRDefault="000765C7" w:rsidP="0088308E">
      <w:pPr>
        <w:numPr>
          <w:ilvl w:val="0"/>
          <w:numId w:val="3"/>
        </w:numPr>
        <w:spacing w:after="0" w:line="240" w:lineRule="auto"/>
        <w:ind w:left="-284" w:firstLine="0"/>
        <w:rPr>
          <w:sz w:val="18"/>
          <w:szCs w:val="18"/>
        </w:rPr>
      </w:pPr>
      <w:r w:rsidRPr="00C617B2">
        <w:rPr>
          <w:sz w:val="18"/>
          <w:szCs w:val="18"/>
        </w:rPr>
        <w:t xml:space="preserve">“VALX” </w:t>
      </w:r>
      <w:r w:rsidRPr="00C617B2">
        <w:rPr>
          <w:sz w:val="18"/>
          <w:szCs w:val="18"/>
        </w:rPr>
        <w:tab/>
      </w:r>
      <w:r w:rsidRPr="00C617B2">
        <w:rPr>
          <w:sz w:val="18"/>
          <w:szCs w:val="18"/>
        </w:rPr>
        <w:tab/>
        <w:t>= VALX B.V., Ne</w:t>
      </w:r>
      <w:r w:rsidR="00C432AD" w:rsidRPr="00C617B2">
        <w:rPr>
          <w:sz w:val="18"/>
          <w:szCs w:val="18"/>
        </w:rPr>
        <w:t>therlands</w:t>
      </w:r>
      <w:r w:rsidRPr="00C617B2">
        <w:rPr>
          <w:sz w:val="18"/>
          <w:szCs w:val="18"/>
        </w:rPr>
        <w:t xml:space="preserve"> </w:t>
      </w:r>
    </w:p>
    <w:p w14:paraId="168D2A18" w14:textId="77777777" w:rsidR="000765C7" w:rsidRPr="00C617B2" w:rsidRDefault="000765C7" w:rsidP="0088308E">
      <w:pPr>
        <w:numPr>
          <w:ilvl w:val="0"/>
          <w:numId w:val="3"/>
        </w:numPr>
        <w:spacing w:after="0" w:line="240" w:lineRule="auto"/>
        <w:ind w:left="-284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 xml:space="preserve">“Customer” </w:t>
      </w:r>
      <w:r w:rsidRPr="00C617B2">
        <w:rPr>
          <w:sz w:val="18"/>
          <w:szCs w:val="18"/>
          <w:lang w:val="en-GB"/>
        </w:rPr>
        <w:tab/>
        <w:t>= First owner of the vehicle</w:t>
      </w:r>
    </w:p>
    <w:p w14:paraId="4094A1C0" w14:textId="77777777" w:rsidR="000765C7" w:rsidRPr="00C617B2" w:rsidRDefault="000765C7" w:rsidP="0088308E">
      <w:pPr>
        <w:numPr>
          <w:ilvl w:val="0"/>
          <w:numId w:val="3"/>
        </w:numPr>
        <w:spacing w:after="0" w:line="240" w:lineRule="auto"/>
        <w:ind w:left="-284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 xml:space="preserve">“Product” </w:t>
      </w:r>
      <w:r w:rsidRPr="00C617B2">
        <w:rPr>
          <w:sz w:val="18"/>
          <w:szCs w:val="18"/>
          <w:lang w:val="en-GB"/>
        </w:rPr>
        <w:tab/>
        <w:t xml:space="preserve">= VALX 9 tonne axle and/or air suspension system </w:t>
      </w:r>
    </w:p>
    <w:p w14:paraId="210E2416" w14:textId="77777777" w:rsidR="000765C7" w:rsidRPr="00C617B2" w:rsidRDefault="000765C7" w:rsidP="0088308E">
      <w:pPr>
        <w:numPr>
          <w:ilvl w:val="0"/>
          <w:numId w:val="3"/>
        </w:numPr>
        <w:spacing w:after="0" w:line="240" w:lineRule="auto"/>
        <w:ind w:left="-284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“Warranty”</w:t>
      </w:r>
      <w:r w:rsidRPr="00C617B2">
        <w:rPr>
          <w:sz w:val="18"/>
          <w:szCs w:val="18"/>
          <w:lang w:val="en-GB"/>
        </w:rPr>
        <w:tab/>
        <w:t>= The VALX B.V. Warranty Commitment</w:t>
      </w:r>
    </w:p>
    <w:p w14:paraId="368B1198" w14:textId="77777777" w:rsidR="000765C7" w:rsidRPr="00C617B2" w:rsidRDefault="000765C7" w:rsidP="0088308E">
      <w:pPr>
        <w:numPr>
          <w:ilvl w:val="0"/>
          <w:numId w:val="3"/>
        </w:numPr>
        <w:spacing w:after="0" w:line="240" w:lineRule="auto"/>
        <w:ind w:left="-284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“Workshop”</w:t>
      </w:r>
      <w:r w:rsidRPr="00C617B2">
        <w:rPr>
          <w:sz w:val="18"/>
          <w:szCs w:val="18"/>
          <w:lang w:val="en-GB"/>
        </w:rPr>
        <w:tab/>
        <w:t>= An authorized VALX Repair Workshop</w:t>
      </w:r>
    </w:p>
    <w:bookmarkEnd w:id="0"/>
    <w:p w14:paraId="6300888E" w14:textId="1A6420FE" w:rsidR="00AA1DC4" w:rsidRPr="00C617B2" w:rsidRDefault="00AA1DC4" w:rsidP="00AA1DC4">
      <w:pPr>
        <w:numPr>
          <w:ilvl w:val="0"/>
          <w:numId w:val="3"/>
        </w:numPr>
        <w:spacing w:after="0" w:line="276" w:lineRule="auto"/>
        <w:ind w:left="-284" w:firstLine="0"/>
        <w:rPr>
          <w:rFonts w:eastAsia="Times New Roman" w:cs="Times New Roman"/>
          <w:kern w:val="0"/>
          <w:sz w:val="18"/>
          <w:szCs w:val="18"/>
          <w:lang w:val="en-US" w:eastAsia="nl-NL"/>
          <w14:ligatures w14:val="none"/>
        </w:rPr>
      </w:pPr>
      <w:r w:rsidRPr="00C617B2">
        <w:rPr>
          <w:rFonts w:eastAsia="Times New Roman" w:cs="Times New Roman"/>
          <w:kern w:val="0"/>
          <w:sz w:val="18"/>
          <w:szCs w:val="18"/>
          <w:lang w:val="en-US" w:eastAsia="nl-NL"/>
          <w14:ligatures w14:val="none"/>
        </w:rPr>
        <w:t>“Zone Map”</w:t>
      </w:r>
      <w:r w:rsidRPr="00C617B2">
        <w:rPr>
          <w:rFonts w:eastAsia="Times New Roman" w:cs="Times New Roman"/>
          <w:kern w:val="0"/>
          <w:sz w:val="18"/>
          <w:szCs w:val="18"/>
          <w:lang w:val="en-US" w:eastAsia="nl-NL"/>
          <w14:ligatures w14:val="none"/>
        </w:rPr>
        <w:tab/>
        <w:t xml:space="preserve">= VALX Geographical Zone Map, attached hereto as an annex. </w:t>
      </w:r>
    </w:p>
    <w:p w14:paraId="2683975D" w14:textId="1756B0E8" w:rsidR="00AA1DC4" w:rsidRPr="00C617B2" w:rsidRDefault="00AA1DC4" w:rsidP="00AA1DC4">
      <w:pPr>
        <w:numPr>
          <w:ilvl w:val="0"/>
          <w:numId w:val="3"/>
        </w:numPr>
        <w:spacing w:after="0" w:line="276" w:lineRule="auto"/>
        <w:ind w:left="-284" w:firstLine="0"/>
        <w:rPr>
          <w:rFonts w:eastAsia="Times New Roman" w:cs="Times New Roman"/>
          <w:kern w:val="0"/>
          <w:sz w:val="18"/>
          <w:szCs w:val="18"/>
          <w:lang w:val="en-US" w:eastAsia="nl-NL"/>
          <w14:ligatures w14:val="none"/>
        </w:rPr>
      </w:pPr>
      <w:r w:rsidRPr="00C617B2">
        <w:rPr>
          <w:rFonts w:eastAsia="Times New Roman" w:cs="Times New Roman"/>
          <w:kern w:val="0"/>
          <w:sz w:val="18"/>
          <w:szCs w:val="18"/>
          <w:lang w:val="en-US" w:eastAsia="nl-NL"/>
          <w14:ligatures w14:val="none"/>
        </w:rPr>
        <w:t>“Zone”</w:t>
      </w:r>
      <w:r w:rsidRPr="00C617B2">
        <w:rPr>
          <w:rFonts w:eastAsia="Times New Roman" w:cs="Times New Roman"/>
          <w:kern w:val="0"/>
          <w:sz w:val="18"/>
          <w:szCs w:val="18"/>
          <w:lang w:val="en-US" w:eastAsia="nl-NL"/>
          <w14:ligatures w14:val="none"/>
        </w:rPr>
        <w:tab/>
      </w:r>
      <w:r w:rsidRPr="00C617B2">
        <w:rPr>
          <w:rFonts w:eastAsia="Times New Roman" w:cs="Times New Roman"/>
          <w:kern w:val="0"/>
          <w:sz w:val="18"/>
          <w:szCs w:val="18"/>
          <w:lang w:val="en-US" w:eastAsia="nl-NL"/>
          <w14:ligatures w14:val="none"/>
        </w:rPr>
        <w:tab/>
        <w:t xml:space="preserve">= </w:t>
      </w:r>
      <w:r w:rsidR="00B90DC4">
        <w:rPr>
          <w:rFonts w:eastAsia="Times New Roman" w:cs="Times New Roman"/>
          <w:kern w:val="0"/>
          <w:sz w:val="18"/>
          <w:szCs w:val="18"/>
          <w:lang w:val="en-US" w:eastAsia="nl-NL"/>
          <w14:ligatures w14:val="none"/>
        </w:rPr>
        <w:t>A</w:t>
      </w:r>
      <w:r w:rsidRPr="00C617B2">
        <w:rPr>
          <w:rFonts w:eastAsia="Times New Roman" w:cs="Times New Roman"/>
          <w:kern w:val="0"/>
          <w:sz w:val="18"/>
          <w:szCs w:val="18"/>
          <w:lang w:val="en-US" w:eastAsia="nl-NL"/>
          <w14:ligatures w14:val="none"/>
        </w:rPr>
        <w:t xml:space="preserve"> geographical area as indicated on the Zone Map</w:t>
      </w:r>
    </w:p>
    <w:p w14:paraId="2335D386" w14:textId="77777777" w:rsidR="00AA1DC4" w:rsidRPr="00C617B2" w:rsidRDefault="00AA1DC4" w:rsidP="00AA1DC4">
      <w:pPr>
        <w:spacing w:after="0" w:line="240" w:lineRule="auto"/>
        <w:ind w:left="-284"/>
        <w:rPr>
          <w:sz w:val="18"/>
          <w:szCs w:val="18"/>
          <w:lang w:val="en-GB"/>
        </w:rPr>
      </w:pPr>
    </w:p>
    <w:p w14:paraId="678E87DF" w14:textId="323BB2CD" w:rsidR="000765C7" w:rsidRPr="00C617B2" w:rsidRDefault="000765C7" w:rsidP="0088308E">
      <w:pPr>
        <w:spacing w:after="0" w:line="276" w:lineRule="auto"/>
        <w:ind w:left="-284"/>
        <w:rPr>
          <w:b/>
          <w:bCs/>
          <w:sz w:val="20"/>
          <w:szCs w:val="20"/>
          <w:lang w:val="en-GB"/>
        </w:rPr>
      </w:pPr>
      <w:r w:rsidRPr="00C617B2">
        <w:rPr>
          <w:b/>
          <w:bCs/>
          <w:sz w:val="20"/>
          <w:szCs w:val="20"/>
          <w:lang w:val="en-GB"/>
        </w:rPr>
        <w:t>Scope:</w:t>
      </w:r>
    </w:p>
    <w:p w14:paraId="70B4EEB6" w14:textId="77777777" w:rsidR="00C81BE2" w:rsidRPr="00C617B2" w:rsidRDefault="000765C7" w:rsidP="0088308E">
      <w:pPr>
        <w:spacing w:after="0" w:line="276" w:lineRule="auto"/>
        <w:ind w:left="-284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All VALX products are covered by the VALX standard warranty system as defined in this document.</w:t>
      </w:r>
    </w:p>
    <w:p w14:paraId="53D8DD16" w14:textId="1821678A" w:rsidR="00AA1DC4" w:rsidRPr="00C617B2" w:rsidRDefault="00AA1DC4" w:rsidP="00AA1DC4">
      <w:pPr>
        <w:spacing w:after="0" w:line="276" w:lineRule="auto"/>
        <w:ind w:left="-284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Within this system, VALX will</w:t>
      </w:r>
      <w:r w:rsidR="00C617B2" w:rsidRPr="00C617B2">
        <w:rPr>
          <w:sz w:val="18"/>
          <w:szCs w:val="18"/>
          <w:lang w:val="en-GB"/>
        </w:rPr>
        <w:t xml:space="preserve"> </w:t>
      </w:r>
      <w:r w:rsidRPr="00C617B2">
        <w:rPr>
          <w:sz w:val="18"/>
          <w:szCs w:val="18"/>
          <w:lang w:val="en-US"/>
        </w:rPr>
        <w:t xml:space="preserve">assume responsibility for </w:t>
      </w:r>
      <w:r w:rsidRPr="00C617B2">
        <w:rPr>
          <w:sz w:val="18"/>
          <w:szCs w:val="18"/>
          <w:lang w:val="en-GB"/>
        </w:rPr>
        <w:t>the costs of repair and/or unscheduled maintenance of the Product in case of malfunction or manufacturing defect, provided that prior agreement has been obtained by VALX.</w:t>
      </w:r>
    </w:p>
    <w:p w14:paraId="19096CB4" w14:textId="77777777" w:rsidR="001E4CEB" w:rsidRPr="00C617B2" w:rsidRDefault="001E4CEB" w:rsidP="0088308E">
      <w:pPr>
        <w:spacing w:after="0" w:line="276" w:lineRule="auto"/>
        <w:ind w:left="-284"/>
        <w:rPr>
          <w:sz w:val="18"/>
          <w:szCs w:val="18"/>
          <w:lang w:val="en-GB"/>
        </w:rPr>
      </w:pPr>
    </w:p>
    <w:p w14:paraId="787194CB" w14:textId="755F4FA8" w:rsidR="001E4CEB" w:rsidRPr="00C617B2" w:rsidRDefault="000765C7" w:rsidP="0088308E">
      <w:pPr>
        <w:spacing w:after="0" w:line="276" w:lineRule="auto"/>
        <w:ind w:left="-284"/>
        <w:rPr>
          <w:b/>
          <w:bCs/>
          <w:sz w:val="20"/>
          <w:szCs w:val="20"/>
          <w:lang w:val="en-GB"/>
        </w:rPr>
      </w:pPr>
      <w:r w:rsidRPr="00C617B2">
        <w:rPr>
          <w:b/>
          <w:bCs/>
          <w:sz w:val="20"/>
          <w:szCs w:val="20"/>
          <w:lang w:val="en-GB"/>
        </w:rPr>
        <w:t>Applicable for:</w:t>
      </w:r>
    </w:p>
    <w:p w14:paraId="0635A952" w14:textId="2861BD78" w:rsidR="000765C7" w:rsidRPr="00C617B2" w:rsidRDefault="000765C7" w:rsidP="0088308E">
      <w:pPr>
        <w:spacing w:after="0" w:line="276" w:lineRule="auto"/>
        <w:ind w:left="-284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 xml:space="preserve">The warranty is applicable for the vehicle equipped with the </w:t>
      </w:r>
      <w:r w:rsidR="00AA1DC4" w:rsidRPr="00C617B2">
        <w:rPr>
          <w:sz w:val="18"/>
          <w:szCs w:val="18"/>
          <w:lang w:val="en-GB"/>
        </w:rPr>
        <w:t>P</w:t>
      </w:r>
      <w:r w:rsidRPr="00C617B2">
        <w:rPr>
          <w:sz w:val="18"/>
          <w:szCs w:val="18"/>
          <w:lang w:val="en-GB"/>
        </w:rPr>
        <w:t>roduct, excluding wear parts.</w:t>
      </w:r>
    </w:p>
    <w:p w14:paraId="53AD614A" w14:textId="77777777" w:rsidR="000765C7" w:rsidRPr="00C617B2" w:rsidRDefault="000765C7" w:rsidP="0088308E">
      <w:pPr>
        <w:spacing w:after="0" w:line="276" w:lineRule="auto"/>
        <w:ind w:left="-284"/>
        <w:rPr>
          <w:sz w:val="20"/>
          <w:szCs w:val="20"/>
          <w:lang w:val="en-GB"/>
        </w:rPr>
      </w:pPr>
    </w:p>
    <w:p w14:paraId="3D7A3E0F" w14:textId="77777777" w:rsidR="000765C7" w:rsidRPr="00C617B2" w:rsidRDefault="000765C7" w:rsidP="0088308E">
      <w:pPr>
        <w:spacing w:after="0" w:line="276" w:lineRule="auto"/>
        <w:ind w:left="-284"/>
        <w:rPr>
          <w:b/>
          <w:bCs/>
          <w:sz w:val="20"/>
          <w:szCs w:val="20"/>
          <w:lang w:val="en-GB"/>
        </w:rPr>
      </w:pPr>
      <w:r w:rsidRPr="00C617B2">
        <w:rPr>
          <w:b/>
          <w:bCs/>
          <w:sz w:val="20"/>
          <w:szCs w:val="20"/>
          <w:lang w:val="en-GB"/>
        </w:rPr>
        <w:t>Duration:</w:t>
      </w:r>
    </w:p>
    <w:p w14:paraId="134FE219" w14:textId="77777777" w:rsidR="00AA1DC4" w:rsidRPr="00C617B2" w:rsidRDefault="000765C7" w:rsidP="00AA1DC4">
      <w:pPr>
        <w:spacing w:after="0" w:line="276" w:lineRule="auto"/>
        <w:ind w:left="-284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Warranty coverage is determined based on both the country of registration and the main country of use of the vehicle.</w:t>
      </w:r>
    </w:p>
    <w:p w14:paraId="7EB58C4F" w14:textId="77777777" w:rsidR="00C617B2" w:rsidRPr="00C617B2" w:rsidRDefault="00C617B2" w:rsidP="00AA1DC4">
      <w:pPr>
        <w:spacing w:after="0" w:line="276" w:lineRule="auto"/>
        <w:ind w:left="-284"/>
        <w:rPr>
          <w:sz w:val="18"/>
          <w:szCs w:val="18"/>
          <w:lang w:val="en-GB"/>
        </w:rPr>
      </w:pPr>
    </w:p>
    <w:p w14:paraId="2892C788" w14:textId="0A334A04" w:rsidR="00AA1DC4" w:rsidRPr="00C617B2" w:rsidRDefault="00AA1DC4" w:rsidP="00AA1DC4">
      <w:pPr>
        <w:spacing w:after="0" w:line="276" w:lineRule="auto"/>
        <w:ind w:left="-284"/>
        <w:rPr>
          <w:bCs/>
          <w:sz w:val="18"/>
          <w:szCs w:val="18"/>
          <w:lang w:val="en-US"/>
        </w:rPr>
      </w:pPr>
      <w:r w:rsidRPr="00C617B2">
        <w:rPr>
          <w:sz w:val="18"/>
          <w:szCs w:val="18"/>
          <w:lang w:val="en-US"/>
        </w:rPr>
        <w:t>Zone 1 Countries:</w:t>
      </w:r>
    </w:p>
    <w:p w14:paraId="7AD57768" w14:textId="54284959" w:rsidR="00AA1DC4" w:rsidRPr="00C617B2" w:rsidRDefault="00AA1DC4" w:rsidP="00AA1DC4">
      <w:pPr>
        <w:pStyle w:val="Lijstalinea"/>
        <w:numPr>
          <w:ilvl w:val="0"/>
          <w:numId w:val="10"/>
        </w:numPr>
        <w:spacing w:after="0" w:line="276" w:lineRule="auto"/>
        <w:rPr>
          <w:sz w:val="18"/>
          <w:szCs w:val="18"/>
          <w:lang w:val="en-GB"/>
        </w:rPr>
      </w:pPr>
      <w:r w:rsidRPr="00C617B2">
        <w:rPr>
          <w:bCs/>
          <w:sz w:val="18"/>
          <w:szCs w:val="18"/>
          <w:lang w:val="en-US"/>
        </w:rPr>
        <w:t>Coverage: 60 months or 1,000,000 km (whichever comes first)</w:t>
      </w:r>
    </w:p>
    <w:p w14:paraId="6A52C5D1" w14:textId="77777777" w:rsidR="00AA1DC4" w:rsidRPr="00C617B2" w:rsidRDefault="00AA1DC4" w:rsidP="00AA1DC4">
      <w:pPr>
        <w:pStyle w:val="Lijstalinea"/>
        <w:numPr>
          <w:ilvl w:val="0"/>
          <w:numId w:val="10"/>
        </w:numPr>
        <w:spacing w:after="0" w:line="276" w:lineRule="auto"/>
        <w:rPr>
          <w:bCs/>
          <w:sz w:val="18"/>
          <w:szCs w:val="18"/>
          <w:lang w:val="en-US"/>
        </w:rPr>
      </w:pPr>
      <w:r w:rsidRPr="00C617B2">
        <w:rPr>
          <w:bCs/>
          <w:sz w:val="18"/>
          <w:szCs w:val="18"/>
          <w:lang w:val="en-US"/>
        </w:rPr>
        <w:t>Start: From the date the vehicle is first put into service</w:t>
      </w:r>
    </w:p>
    <w:p w14:paraId="3A914854" w14:textId="7769D7FC" w:rsidR="00AA1DC4" w:rsidRPr="00C617B2" w:rsidRDefault="00AA1DC4" w:rsidP="00AA1DC4">
      <w:pPr>
        <w:pStyle w:val="Lijstalinea"/>
        <w:numPr>
          <w:ilvl w:val="0"/>
          <w:numId w:val="10"/>
        </w:numPr>
        <w:spacing w:after="0" w:line="276" w:lineRule="auto"/>
        <w:rPr>
          <w:sz w:val="18"/>
          <w:szCs w:val="18"/>
          <w:lang w:val="en-US"/>
        </w:rPr>
      </w:pPr>
      <w:r w:rsidRPr="00C617B2">
        <w:rPr>
          <w:bCs/>
          <w:sz w:val="18"/>
          <w:szCs w:val="18"/>
          <w:lang w:val="en-US"/>
        </w:rPr>
        <w:t>Maximum: Up to 69 months after axle production date, regardless of the date the vehicle is first put into service</w:t>
      </w:r>
    </w:p>
    <w:p w14:paraId="2FCA3163" w14:textId="77777777" w:rsidR="00AA1DC4" w:rsidRPr="00C617B2" w:rsidRDefault="00AA1DC4" w:rsidP="00AA1DC4">
      <w:pPr>
        <w:spacing w:after="0" w:line="276" w:lineRule="auto"/>
        <w:ind w:left="-284"/>
        <w:rPr>
          <w:sz w:val="18"/>
          <w:szCs w:val="18"/>
          <w:lang w:val="en-US"/>
        </w:rPr>
      </w:pPr>
    </w:p>
    <w:p w14:paraId="3DAD5035" w14:textId="77777777" w:rsidR="00AA1DC4" w:rsidRPr="00C617B2" w:rsidRDefault="00AA1DC4" w:rsidP="00AA1DC4">
      <w:pPr>
        <w:spacing w:after="0" w:line="276" w:lineRule="auto"/>
        <w:ind w:left="-284"/>
        <w:rPr>
          <w:sz w:val="18"/>
          <w:szCs w:val="18"/>
          <w:lang w:val="en-US"/>
        </w:rPr>
      </w:pPr>
      <w:r w:rsidRPr="00C617B2">
        <w:rPr>
          <w:sz w:val="18"/>
          <w:szCs w:val="18"/>
          <w:lang w:val="en-US"/>
        </w:rPr>
        <w:t>Zone 2 Countries or Off-road Use in Zone 1:</w:t>
      </w:r>
    </w:p>
    <w:p w14:paraId="3CEAC6DD" w14:textId="31AA14F3" w:rsidR="00AA1DC4" w:rsidRPr="00C617B2" w:rsidRDefault="00AA1DC4" w:rsidP="00AA1DC4">
      <w:pPr>
        <w:numPr>
          <w:ilvl w:val="0"/>
          <w:numId w:val="9"/>
        </w:numPr>
        <w:spacing w:after="0" w:line="276" w:lineRule="auto"/>
        <w:ind w:left="709" w:hanging="283"/>
        <w:rPr>
          <w:bCs/>
          <w:sz w:val="18"/>
          <w:szCs w:val="18"/>
          <w:lang w:val="en-US"/>
        </w:rPr>
      </w:pPr>
      <w:r w:rsidRPr="00C617B2">
        <w:rPr>
          <w:bCs/>
          <w:sz w:val="18"/>
          <w:szCs w:val="18"/>
          <w:lang w:val="en-US"/>
        </w:rPr>
        <w:t>Coverage: 36 months or 500,000 km (whichever comes first)</w:t>
      </w:r>
    </w:p>
    <w:p w14:paraId="15DBDC50" w14:textId="77777777" w:rsidR="00AA1DC4" w:rsidRPr="00C617B2" w:rsidRDefault="00AA1DC4" w:rsidP="00AA1DC4">
      <w:pPr>
        <w:numPr>
          <w:ilvl w:val="0"/>
          <w:numId w:val="9"/>
        </w:numPr>
        <w:spacing w:after="0" w:line="276" w:lineRule="auto"/>
        <w:ind w:left="709" w:hanging="283"/>
        <w:rPr>
          <w:bCs/>
          <w:sz w:val="18"/>
          <w:szCs w:val="18"/>
          <w:lang w:val="en-US"/>
        </w:rPr>
      </w:pPr>
      <w:r w:rsidRPr="00C617B2">
        <w:rPr>
          <w:bCs/>
          <w:sz w:val="18"/>
          <w:szCs w:val="18"/>
          <w:lang w:val="en-US"/>
        </w:rPr>
        <w:t>Start: From the date the vehicle is first put into service</w:t>
      </w:r>
    </w:p>
    <w:p w14:paraId="2E9F9C3D" w14:textId="5EDA3CA5" w:rsidR="00AA1DC4" w:rsidRPr="00C617B2" w:rsidRDefault="00AA1DC4" w:rsidP="00AA1DC4">
      <w:pPr>
        <w:numPr>
          <w:ilvl w:val="0"/>
          <w:numId w:val="9"/>
        </w:numPr>
        <w:spacing w:after="0" w:line="276" w:lineRule="auto"/>
        <w:ind w:left="709" w:hanging="283"/>
        <w:rPr>
          <w:bCs/>
          <w:sz w:val="18"/>
          <w:szCs w:val="18"/>
          <w:lang w:val="en-US"/>
        </w:rPr>
      </w:pPr>
      <w:r w:rsidRPr="00C617B2">
        <w:rPr>
          <w:bCs/>
          <w:sz w:val="18"/>
          <w:szCs w:val="18"/>
          <w:lang w:val="en-US"/>
        </w:rPr>
        <w:t>Maximum: Up to 45 months after axle production date, regardless of the date the vehicle is first put into service</w:t>
      </w:r>
    </w:p>
    <w:p w14:paraId="116B605B" w14:textId="77777777" w:rsidR="00AA1DC4" w:rsidRPr="00C617B2" w:rsidRDefault="00AA1DC4" w:rsidP="00AA1DC4">
      <w:pPr>
        <w:spacing w:after="0" w:line="276" w:lineRule="auto"/>
        <w:ind w:left="709" w:hanging="283"/>
        <w:rPr>
          <w:sz w:val="18"/>
          <w:szCs w:val="18"/>
          <w:lang w:val="en-US"/>
        </w:rPr>
      </w:pPr>
    </w:p>
    <w:p w14:paraId="4BCCE0FB" w14:textId="77777777" w:rsidR="00AA1DC4" w:rsidRPr="00C617B2" w:rsidRDefault="00AA1DC4" w:rsidP="00AA1DC4">
      <w:pPr>
        <w:spacing w:after="0" w:line="276" w:lineRule="auto"/>
        <w:ind w:left="-284"/>
        <w:rPr>
          <w:sz w:val="18"/>
          <w:szCs w:val="18"/>
          <w:lang w:val="en-US"/>
        </w:rPr>
      </w:pPr>
      <w:r w:rsidRPr="00C617B2">
        <w:rPr>
          <w:sz w:val="18"/>
          <w:szCs w:val="18"/>
          <w:lang w:val="en-US"/>
        </w:rPr>
        <w:t>Zone 2 Countries with Off-road Use:</w:t>
      </w:r>
    </w:p>
    <w:p w14:paraId="0DDFD065" w14:textId="7CB29836" w:rsidR="00AA1DC4" w:rsidRPr="00286773" w:rsidRDefault="00AA1DC4" w:rsidP="00C617B2">
      <w:pPr>
        <w:numPr>
          <w:ilvl w:val="0"/>
          <w:numId w:val="9"/>
        </w:numPr>
        <w:spacing w:after="0" w:line="276" w:lineRule="auto"/>
        <w:ind w:left="709" w:hanging="283"/>
        <w:rPr>
          <w:bCs/>
          <w:sz w:val="18"/>
          <w:szCs w:val="18"/>
          <w:lang w:val="en-US"/>
        </w:rPr>
      </w:pPr>
      <w:r w:rsidRPr="00286773">
        <w:rPr>
          <w:bCs/>
          <w:sz w:val="18"/>
          <w:szCs w:val="18"/>
          <w:lang w:val="en-US"/>
        </w:rPr>
        <w:t>Coverage: 24 months</w:t>
      </w:r>
      <w:r w:rsidR="00286773">
        <w:rPr>
          <w:bCs/>
          <w:sz w:val="18"/>
          <w:szCs w:val="18"/>
          <w:lang w:val="en-US"/>
        </w:rPr>
        <w:t xml:space="preserve"> </w:t>
      </w:r>
      <w:r w:rsidR="00286773" w:rsidRPr="00286773">
        <w:rPr>
          <w:bCs/>
          <w:sz w:val="18"/>
          <w:szCs w:val="18"/>
          <w:lang w:val="en-US"/>
        </w:rPr>
        <w:t>or 250,000 km (whichever co</w:t>
      </w:r>
      <w:r w:rsidR="00286773">
        <w:rPr>
          <w:bCs/>
          <w:sz w:val="18"/>
          <w:szCs w:val="18"/>
          <w:lang w:val="en-US"/>
        </w:rPr>
        <w:t>mes first)</w:t>
      </w:r>
    </w:p>
    <w:p w14:paraId="5E4A6E55" w14:textId="77777777" w:rsidR="00AA1DC4" w:rsidRPr="00C617B2" w:rsidRDefault="00AA1DC4" w:rsidP="00C617B2">
      <w:pPr>
        <w:numPr>
          <w:ilvl w:val="0"/>
          <w:numId w:val="9"/>
        </w:numPr>
        <w:spacing w:after="0" w:line="276" w:lineRule="auto"/>
        <w:ind w:left="426" w:firstLine="0"/>
        <w:rPr>
          <w:bCs/>
          <w:sz w:val="18"/>
          <w:szCs w:val="18"/>
          <w:lang w:val="en-US"/>
        </w:rPr>
      </w:pPr>
      <w:r w:rsidRPr="00C617B2">
        <w:rPr>
          <w:bCs/>
          <w:sz w:val="18"/>
          <w:szCs w:val="18"/>
          <w:lang w:val="en-US"/>
        </w:rPr>
        <w:t>Start: From the date the vehicle is first put into service</w:t>
      </w:r>
    </w:p>
    <w:p w14:paraId="70658EC6" w14:textId="3EA669D5" w:rsidR="00AA1DC4" w:rsidRPr="00C617B2" w:rsidRDefault="00AA1DC4" w:rsidP="00C617B2">
      <w:pPr>
        <w:numPr>
          <w:ilvl w:val="0"/>
          <w:numId w:val="9"/>
        </w:numPr>
        <w:spacing w:after="0" w:line="276" w:lineRule="auto"/>
        <w:ind w:left="709" w:hanging="283"/>
        <w:rPr>
          <w:sz w:val="18"/>
          <w:szCs w:val="18"/>
          <w:lang w:val="en-US"/>
        </w:rPr>
      </w:pPr>
      <w:r w:rsidRPr="00C617B2">
        <w:rPr>
          <w:bCs/>
          <w:sz w:val="18"/>
          <w:szCs w:val="18"/>
          <w:lang w:val="en-US"/>
        </w:rPr>
        <w:t>Maximum: Up to 33 months after axle production date, regardless of the date the vehicle is first put into service</w:t>
      </w:r>
    </w:p>
    <w:p w14:paraId="797951DC" w14:textId="77777777" w:rsidR="00AA1DC4" w:rsidRPr="00C617B2" w:rsidRDefault="00AA1DC4" w:rsidP="00AA1DC4">
      <w:pPr>
        <w:spacing w:after="0" w:line="276" w:lineRule="auto"/>
        <w:ind w:left="-284"/>
        <w:rPr>
          <w:sz w:val="18"/>
          <w:szCs w:val="18"/>
          <w:lang w:val="en-US"/>
        </w:rPr>
      </w:pPr>
    </w:p>
    <w:p w14:paraId="4EFCE629" w14:textId="77777777" w:rsidR="00AA1DC4" w:rsidRPr="00C617B2" w:rsidRDefault="00AA1DC4" w:rsidP="00AA1DC4">
      <w:pPr>
        <w:spacing w:after="0" w:line="276" w:lineRule="auto"/>
        <w:ind w:left="-284"/>
        <w:rPr>
          <w:rFonts w:eastAsia="Times New Roman" w:cs="Times New Roman"/>
          <w:kern w:val="0"/>
          <w:sz w:val="18"/>
          <w:szCs w:val="18"/>
          <w:lang w:val="en-US" w:eastAsia="nl-NL"/>
          <w14:ligatures w14:val="none"/>
        </w:rPr>
      </w:pPr>
      <w:r w:rsidRPr="00C617B2">
        <w:rPr>
          <w:rFonts w:eastAsia="Times New Roman" w:cs="Times New Roman"/>
          <w:kern w:val="0"/>
          <w:sz w:val="18"/>
          <w:szCs w:val="18"/>
          <w:lang w:val="en-US" w:eastAsia="nl-NL"/>
          <w14:ligatures w14:val="none"/>
        </w:rPr>
        <w:t>Countries Outside Zone 1 and 2:</w:t>
      </w:r>
    </w:p>
    <w:p w14:paraId="57168AEF" w14:textId="506C89B6" w:rsidR="00AA1DC4" w:rsidRPr="00286773" w:rsidRDefault="00AA1DC4" w:rsidP="00AA1DC4">
      <w:pPr>
        <w:pStyle w:val="Lijstalinea"/>
        <w:numPr>
          <w:ilvl w:val="0"/>
          <w:numId w:val="9"/>
        </w:numPr>
        <w:spacing w:after="0" w:line="276" w:lineRule="auto"/>
        <w:ind w:left="709" w:hanging="283"/>
        <w:rPr>
          <w:rFonts w:eastAsia="Times New Roman" w:cs="Times New Roman"/>
          <w:bCs/>
          <w:kern w:val="0"/>
          <w:sz w:val="18"/>
          <w:szCs w:val="18"/>
          <w:lang w:val="en-US" w:eastAsia="nl-NL"/>
          <w14:ligatures w14:val="none"/>
        </w:rPr>
      </w:pPr>
      <w:r w:rsidRPr="00286773">
        <w:rPr>
          <w:rFonts w:eastAsia="Times New Roman" w:cs="Times New Roman"/>
          <w:bCs/>
          <w:kern w:val="0"/>
          <w:sz w:val="18"/>
          <w:szCs w:val="18"/>
          <w:lang w:val="en-US" w:eastAsia="nl-NL"/>
          <w14:ligatures w14:val="none"/>
        </w:rPr>
        <w:t xml:space="preserve">Coverage: 12 months </w:t>
      </w:r>
      <w:r w:rsidR="00286773" w:rsidRPr="00286773">
        <w:rPr>
          <w:bCs/>
          <w:sz w:val="18"/>
          <w:szCs w:val="18"/>
          <w:lang w:val="en-US"/>
        </w:rPr>
        <w:t>or 250,000 km (whichever comes first)</w:t>
      </w:r>
    </w:p>
    <w:p w14:paraId="16DCDD13" w14:textId="77777777" w:rsidR="00AA1DC4" w:rsidRPr="00C617B2" w:rsidRDefault="00AA1DC4" w:rsidP="00AA1DC4">
      <w:pPr>
        <w:pStyle w:val="Lijstalinea"/>
        <w:numPr>
          <w:ilvl w:val="0"/>
          <w:numId w:val="9"/>
        </w:numPr>
        <w:spacing w:after="0" w:line="276" w:lineRule="auto"/>
        <w:ind w:left="709" w:hanging="283"/>
        <w:rPr>
          <w:rFonts w:eastAsia="Times New Roman" w:cs="Times New Roman"/>
          <w:bCs/>
          <w:kern w:val="0"/>
          <w:sz w:val="18"/>
          <w:szCs w:val="18"/>
          <w:lang w:val="en-US" w:eastAsia="nl-NL"/>
          <w14:ligatures w14:val="none"/>
        </w:rPr>
      </w:pPr>
      <w:r w:rsidRPr="00C617B2">
        <w:rPr>
          <w:rFonts w:eastAsia="Times New Roman" w:cs="Times New Roman"/>
          <w:bCs/>
          <w:kern w:val="0"/>
          <w:sz w:val="18"/>
          <w:szCs w:val="18"/>
          <w:lang w:val="en-US" w:eastAsia="nl-NL"/>
          <w14:ligatures w14:val="none"/>
        </w:rPr>
        <w:t>Start: From the date the vehicle is first put into service</w:t>
      </w:r>
    </w:p>
    <w:p w14:paraId="3219EB1C" w14:textId="6B259258" w:rsidR="00AA1DC4" w:rsidRPr="00C617B2" w:rsidRDefault="00AA1DC4" w:rsidP="00AA1DC4">
      <w:pPr>
        <w:pStyle w:val="Lijstalinea"/>
        <w:numPr>
          <w:ilvl w:val="0"/>
          <w:numId w:val="9"/>
        </w:numPr>
        <w:spacing w:after="0" w:line="276" w:lineRule="auto"/>
        <w:ind w:left="709" w:hanging="283"/>
        <w:rPr>
          <w:rFonts w:eastAsia="Times New Roman" w:cs="Times New Roman"/>
          <w:bCs/>
          <w:kern w:val="0"/>
          <w:sz w:val="18"/>
          <w:szCs w:val="18"/>
          <w:lang w:val="en-US" w:eastAsia="nl-NL"/>
          <w14:ligatures w14:val="none"/>
        </w:rPr>
      </w:pPr>
      <w:r w:rsidRPr="00C617B2">
        <w:rPr>
          <w:rFonts w:eastAsia="Times New Roman" w:cs="Times New Roman"/>
          <w:bCs/>
          <w:kern w:val="0"/>
          <w:sz w:val="18"/>
          <w:szCs w:val="18"/>
          <w:lang w:val="en-US" w:eastAsia="nl-NL"/>
          <w14:ligatures w14:val="none"/>
        </w:rPr>
        <w:t>Maximum: Up to 21 months after axle production date, regardless of the date the vehicle is first put into service</w:t>
      </w:r>
    </w:p>
    <w:p w14:paraId="07902194" w14:textId="77777777" w:rsidR="00AA1DC4" w:rsidRPr="00C617B2" w:rsidRDefault="00AA1DC4" w:rsidP="00AA1DC4">
      <w:pPr>
        <w:spacing w:after="0" w:line="276" w:lineRule="auto"/>
        <w:ind w:left="-284"/>
        <w:rPr>
          <w:sz w:val="18"/>
          <w:szCs w:val="18"/>
          <w:lang w:val="en-US"/>
        </w:rPr>
      </w:pPr>
    </w:p>
    <w:p w14:paraId="0D094330" w14:textId="77777777" w:rsidR="00AA1DC4" w:rsidRPr="00C617B2" w:rsidRDefault="00AA1DC4" w:rsidP="00AA1DC4">
      <w:pPr>
        <w:spacing w:after="0" w:line="276" w:lineRule="auto"/>
        <w:ind w:left="-284"/>
        <w:rPr>
          <w:sz w:val="18"/>
          <w:szCs w:val="18"/>
          <w:lang w:val="en-US"/>
        </w:rPr>
      </w:pPr>
      <w:r w:rsidRPr="00C617B2">
        <w:rPr>
          <w:sz w:val="18"/>
          <w:szCs w:val="18"/>
          <w:lang w:val="en-US"/>
        </w:rPr>
        <w:t>Wear Parts in Zone 1 or 2:</w:t>
      </w:r>
    </w:p>
    <w:p w14:paraId="3BACBB4C" w14:textId="77777777" w:rsidR="00AA1DC4" w:rsidRPr="00C617B2" w:rsidRDefault="00AA1DC4" w:rsidP="005E17B3">
      <w:pPr>
        <w:numPr>
          <w:ilvl w:val="0"/>
          <w:numId w:val="9"/>
        </w:numPr>
        <w:spacing w:after="0" w:line="276" w:lineRule="auto"/>
        <w:ind w:left="709" w:hanging="283"/>
        <w:rPr>
          <w:bCs/>
          <w:sz w:val="18"/>
          <w:szCs w:val="18"/>
          <w:lang w:val="en-US"/>
        </w:rPr>
      </w:pPr>
      <w:r w:rsidRPr="00C617B2">
        <w:rPr>
          <w:bCs/>
          <w:sz w:val="18"/>
          <w:szCs w:val="18"/>
          <w:lang w:val="en-US"/>
        </w:rPr>
        <w:t>Coverage: 24 months (excluding normal wear and tear)</w:t>
      </w:r>
    </w:p>
    <w:p w14:paraId="0DD76B70" w14:textId="1B6C2BCA" w:rsidR="005B4383" w:rsidRPr="005B4383" w:rsidRDefault="00AA1DC4" w:rsidP="005B4383">
      <w:pPr>
        <w:pStyle w:val="Lijstalinea"/>
        <w:numPr>
          <w:ilvl w:val="0"/>
          <w:numId w:val="9"/>
        </w:numPr>
        <w:spacing w:after="0" w:line="276" w:lineRule="auto"/>
        <w:ind w:left="709" w:hanging="283"/>
        <w:rPr>
          <w:rFonts w:eastAsia="Times New Roman" w:cs="Times New Roman"/>
          <w:bCs/>
          <w:kern w:val="0"/>
          <w:sz w:val="18"/>
          <w:szCs w:val="18"/>
          <w:lang w:val="en-US" w:eastAsia="nl-NL"/>
          <w14:ligatures w14:val="none"/>
        </w:rPr>
      </w:pPr>
      <w:r w:rsidRPr="005B4383">
        <w:rPr>
          <w:rFonts w:eastAsia="Times New Roman" w:cs="Times New Roman"/>
          <w:bCs/>
          <w:kern w:val="0"/>
          <w:sz w:val="18"/>
          <w:szCs w:val="18"/>
          <w:lang w:val="en-US" w:eastAsia="nl-NL"/>
          <w14:ligatures w14:val="none"/>
        </w:rPr>
        <w:t xml:space="preserve">Start: </w:t>
      </w:r>
      <w:r w:rsidR="005B4383" w:rsidRPr="005B4383">
        <w:rPr>
          <w:rFonts w:eastAsia="Times New Roman" w:cs="Times New Roman"/>
          <w:bCs/>
          <w:kern w:val="0"/>
          <w:sz w:val="18"/>
          <w:szCs w:val="18"/>
          <w:lang w:val="en-US" w:eastAsia="nl-NL"/>
          <w14:ligatures w14:val="none"/>
        </w:rPr>
        <w:t>from the date stated on the delivery note that was sent to the customer</w:t>
      </w:r>
    </w:p>
    <w:p w14:paraId="4BE4FB66" w14:textId="1C4159AB" w:rsidR="001E4CEB" w:rsidRPr="005B4383" w:rsidRDefault="001E4CEB" w:rsidP="005B4383">
      <w:pPr>
        <w:spacing w:after="0" w:line="276" w:lineRule="auto"/>
        <w:ind w:left="-284"/>
        <w:rPr>
          <w:b/>
          <w:bCs/>
          <w:sz w:val="20"/>
          <w:szCs w:val="20"/>
          <w:lang w:val="en-US"/>
        </w:rPr>
      </w:pPr>
    </w:p>
    <w:p w14:paraId="5BA4D056" w14:textId="714DACA4" w:rsidR="000765C7" w:rsidRPr="00C617B2" w:rsidRDefault="000765C7" w:rsidP="0088308E">
      <w:pPr>
        <w:spacing w:after="0" w:line="276" w:lineRule="auto"/>
        <w:ind w:left="-284"/>
        <w:rPr>
          <w:b/>
          <w:bCs/>
          <w:sz w:val="20"/>
          <w:szCs w:val="20"/>
          <w:lang w:val="en-GB"/>
        </w:rPr>
      </w:pPr>
      <w:r w:rsidRPr="00C617B2">
        <w:rPr>
          <w:b/>
          <w:bCs/>
          <w:sz w:val="20"/>
          <w:szCs w:val="20"/>
          <w:lang w:val="en-GB"/>
        </w:rPr>
        <w:t>On/Off-road use:</w:t>
      </w:r>
    </w:p>
    <w:p w14:paraId="11378D5F" w14:textId="77777777" w:rsidR="00AA1DC4" w:rsidRPr="00C617B2" w:rsidRDefault="00AA1DC4" w:rsidP="00AA1DC4">
      <w:pPr>
        <w:spacing w:after="0" w:line="276" w:lineRule="auto"/>
        <w:ind w:left="-284"/>
        <w:rPr>
          <w:bCs/>
          <w:sz w:val="18"/>
          <w:szCs w:val="18"/>
          <w:lang w:val="en-US"/>
        </w:rPr>
      </w:pPr>
      <w:r w:rsidRPr="00C617B2">
        <w:rPr>
          <w:bCs/>
          <w:sz w:val="18"/>
          <w:szCs w:val="18"/>
          <w:lang w:val="en-US"/>
        </w:rPr>
        <w:t>A vehicle is considered to be in on-road use when it operates exclusively on roads with sealed and metalled surfaces, such as concrete or asphalt. Off-road use refers to any instance where a vehicle leaves sealed and metalled surfaces (for example, driving on a gravel road), even if only for a brief period.</w:t>
      </w:r>
    </w:p>
    <w:p w14:paraId="5A2B3BFC" w14:textId="77777777" w:rsidR="000765C7" w:rsidRPr="00C617B2" w:rsidRDefault="000765C7" w:rsidP="00AA1DC4">
      <w:pPr>
        <w:spacing w:after="0" w:line="276" w:lineRule="auto"/>
        <w:ind w:left="-284"/>
        <w:rPr>
          <w:b/>
          <w:bCs/>
          <w:sz w:val="20"/>
          <w:szCs w:val="20"/>
          <w:lang w:val="en-US"/>
        </w:rPr>
      </w:pPr>
    </w:p>
    <w:p w14:paraId="74EC0DD4" w14:textId="77777777" w:rsidR="00C617B2" w:rsidRPr="00C617B2" w:rsidRDefault="00C617B2" w:rsidP="00AA1DC4">
      <w:pPr>
        <w:spacing w:after="0" w:line="276" w:lineRule="auto"/>
        <w:ind w:left="-284"/>
        <w:rPr>
          <w:b/>
          <w:bCs/>
          <w:sz w:val="20"/>
          <w:szCs w:val="20"/>
          <w:lang w:val="en-US"/>
        </w:rPr>
      </w:pPr>
    </w:p>
    <w:p w14:paraId="01A37CBC" w14:textId="6BED8598" w:rsidR="000765C7" w:rsidRPr="00C617B2" w:rsidRDefault="000765C7" w:rsidP="0088308E">
      <w:pPr>
        <w:spacing w:after="0" w:line="276" w:lineRule="auto"/>
        <w:ind w:left="-284"/>
        <w:rPr>
          <w:b/>
          <w:bCs/>
          <w:sz w:val="20"/>
          <w:szCs w:val="20"/>
          <w:lang w:val="en-GB"/>
        </w:rPr>
      </w:pPr>
      <w:r w:rsidRPr="00C617B2">
        <w:rPr>
          <w:b/>
          <w:bCs/>
          <w:sz w:val="20"/>
          <w:szCs w:val="20"/>
          <w:lang w:val="en-GB"/>
        </w:rPr>
        <w:lastRenderedPageBreak/>
        <w:t>Conditions:</w:t>
      </w:r>
    </w:p>
    <w:p w14:paraId="171CC817" w14:textId="77777777" w:rsidR="00AA1DC4" w:rsidRPr="00C617B2" w:rsidRDefault="00AA1DC4" w:rsidP="00AA1DC4">
      <w:pPr>
        <w:pStyle w:val="Lijstalinea"/>
        <w:numPr>
          <w:ilvl w:val="0"/>
          <w:numId w:val="5"/>
        </w:numPr>
        <w:spacing w:after="0" w:line="276" w:lineRule="auto"/>
        <w:ind w:left="-284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The vehicle is equipped with an EBS brake system when registered in a country in Zone 1 or Zone 2.</w:t>
      </w:r>
    </w:p>
    <w:p w14:paraId="7513C323" w14:textId="77777777" w:rsidR="00AA1DC4" w:rsidRPr="00C617B2" w:rsidRDefault="00AA1DC4" w:rsidP="00AA1DC4">
      <w:pPr>
        <w:pStyle w:val="Lijstalinea"/>
        <w:numPr>
          <w:ilvl w:val="0"/>
          <w:numId w:val="5"/>
        </w:numPr>
        <w:spacing w:after="0" w:line="276" w:lineRule="auto"/>
        <w:ind w:left="-284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The vehicle is equipped with a load dependent ABS brake system when registered in a country outside Zone 1 or Zone 2.</w:t>
      </w:r>
    </w:p>
    <w:p w14:paraId="55FA9513" w14:textId="0935EEB8" w:rsidR="00AA1DC4" w:rsidRPr="00C617B2" w:rsidRDefault="000765C7" w:rsidP="00AA1DC4">
      <w:pPr>
        <w:pStyle w:val="Lijstalinea"/>
        <w:numPr>
          <w:ilvl w:val="0"/>
          <w:numId w:val="5"/>
        </w:numPr>
        <w:spacing w:after="0" w:line="276" w:lineRule="auto"/>
        <w:ind w:left="-284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 xml:space="preserve">The vehicle is equipped with a VALX recommended product. </w:t>
      </w:r>
    </w:p>
    <w:p w14:paraId="54862269" w14:textId="77777777" w:rsidR="00AA1DC4" w:rsidRPr="00C617B2" w:rsidRDefault="00AA1DC4" w:rsidP="00AA1DC4">
      <w:pPr>
        <w:pStyle w:val="Lijstalinea"/>
        <w:numPr>
          <w:ilvl w:val="0"/>
          <w:numId w:val="5"/>
        </w:numPr>
        <w:spacing w:after="0" w:line="276" w:lineRule="auto"/>
        <w:ind w:left="0" w:hanging="284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If a vehicle is registered and/or used in a country outside Zone 1, or is being used in off-road conditions in Zone 1, the product recommendations may deviate from standard. Please contact VALX for more information.</w:t>
      </w:r>
    </w:p>
    <w:p w14:paraId="5DEDC005" w14:textId="77777777" w:rsidR="000D2283" w:rsidRPr="00C617B2" w:rsidRDefault="000765C7" w:rsidP="000D2283">
      <w:pPr>
        <w:pStyle w:val="Lijstalinea"/>
        <w:numPr>
          <w:ilvl w:val="0"/>
          <w:numId w:val="5"/>
        </w:numPr>
        <w:spacing w:after="0" w:line="276" w:lineRule="auto"/>
        <w:ind w:left="-284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The vehicle is not used in earthmoving, racing or military applications.</w:t>
      </w:r>
    </w:p>
    <w:p w14:paraId="3D4AEC09" w14:textId="77777777" w:rsidR="00AA1DC4" w:rsidRPr="00C617B2" w:rsidRDefault="000765C7" w:rsidP="00AA1DC4">
      <w:pPr>
        <w:pStyle w:val="Lijstalinea"/>
        <w:numPr>
          <w:ilvl w:val="0"/>
          <w:numId w:val="5"/>
        </w:numPr>
        <w:spacing w:after="0" w:line="276" w:lineRule="auto"/>
        <w:ind w:left="0" w:hanging="284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 xml:space="preserve">The </w:t>
      </w:r>
      <w:r w:rsidR="00AA1DC4" w:rsidRPr="00C617B2">
        <w:rPr>
          <w:sz w:val="18"/>
          <w:szCs w:val="18"/>
          <w:lang w:val="en-GB"/>
        </w:rPr>
        <w:t>P</w:t>
      </w:r>
      <w:r w:rsidRPr="00C617B2">
        <w:rPr>
          <w:sz w:val="18"/>
          <w:szCs w:val="18"/>
          <w:lang w:val="en-GB"/>
        </w:rPr>
        <w:t xml:space="preserve">roduct </w:t>
      </w:r>
      <w:r w:rsidR="00AA1DC4" w:rsidRPr="00C617B2">
        <w:rPr>
          <w:sz w:val="18"/>
          <w:szCs w:val="18"/>
          <w:lang w:val="en-GB"/>
        </w:rPr>
        <w:t xml:space="preserve">must be </w:t>
      </w:r>
      <w:r w:rsidRPr="00C617B2">
        <w:rPr>
          <w:sz w:val="18"/>
          <w:szCs w:val="18"/>
          <w:lang w:val="en-GB"/>
        </w:rPr>
        <w:t xml:space="preserve">equipped, repaired and maintained </w:t>
      </w:r>
      <w:r w:rsidR="00AA1DC4" w:rsidRPr="00C617B2">
        <w:rPr>
          <w:sz w:val="18"/>
          <w:szCs w:val="18"/>
          <w:lang w:val="en-GB"/>
        </w:rPr>
        <w:t xml:space="preserve">exclusively </w:t>
      </w:r>
      <w:r w:rsidRPr="00C617B2">
        <w:rPr>
          <w:sz w:val="18"/>
          <w:szCs w:val="18"/>
          <w:lang w:val="en-GB"/>
        </w:rPr>
        <w:t xml:space="preserve">with original VALX (spare) parts or parts that have </w:t>
      </w:r>
      <w:r w:rsidR="00AA1DC4" w:rsidRPr="00C617B2">
        <w:rPr>
          <w:sz w:val="18"/>
          <w:szCs w:val="18"/>
          <w:lang w:val="en-GB"/>
        </w:rPr>
        <w:t>received prior written approval from VALX for this specific purpose.</w:t>
      </w:r>
    </w:p>
    <w:p w14:paraId="2D26FFB8" w14:textId="70530DF2" w:rsidR="000765C7" w:rsidRPr="00C617B2" w:rsidRDefault="000765C7" w:rsidP="00AA1DC4">
      <w:pPr>
        <w:pStyle w:val="Lijstalinea"/>
        <w:numPr>
          <w:ilvl w:val="0"/>
          <w:numId w:val="5"/>
        </w:numPr>
        <w:spacing w:after="0" w:line="276" w:lineRule="auto"/>
        <w:ind w:left="-284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The customer or the workshop grants VALX access to all stored data in the on-board equipment of the vehicle.</w:t>
      </w:r>
    </w:p>
    <w:p w14:paraId="4C2CF84E" w14:textId="441E8FFD" w:rsidR="000765C7" w:rsidRPr="00C617B2" w:rsidRDefault="00AA1DC4" w:rsidP="00AA1DC4">
      <w:pPr>
        <w:pStyle w:val="Lijstalinea"/>
        <w:numPr>
          <w:ilvl w:val="0"/>
          <w:numId w:val="5"/>
        </w:numPr>
        <w:spacing w:after="0" w:line="276" w:lineRule="auto"/>
        <w:ind w:left="0" w:hanging="284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 xml:space="preserve">The vehicle owner or the Workshop must perform all maintenance and repairs on the Product in accordance with VALX maintenance guidelines, and maintain accurate </w:t>
      </w:r>
      <w:r w:rsidR="00B47FFB">
        <w:rPr>
          <w:sz w:val="18"/>
          <w:szCs w:val="18"/>
          <w:lang w:val="en-GB"/>
        </w:rPr>
        <w:t>r</w:t>
      </w:r>
      <w:r w:rsidRPr="00C617B2">
        <w:rPr>
          <w:sz w:val="18"/>
          <w:szCs w:val="18"/>
          <w:lang w:val="en-GB"/>
        </w:rPr>
        <w:t xml:space="preserve">ecords of all such activities. </w:t>
      </w:r>
      <w:r w:rsidR="000765C7" w:rsidRPr="00C617B2">
        <w:rPr>
          <w:sz w:val="18"/>
          <w:szCs w:val="18"/>
          <w:lang w:val="en-GB"/>
        </w:rPr>
        <w:t>This record should be shared with VALX when asked for.</w:t>
      </w:r>
    </w:p>
    <w:p w14:paraId="1EE2CE36" w14:textId="77777777" w:rsidR="00784DEE" w:rsidRPr="00C617B2" w:rsidRDefault="00784DEE" w:rsidP="0088308E">
      <w:pPr>
        <w:spacing w:after="0" w:line="276" w:lineRule="auto"/>
        <w:ind w:left="-284"/>
        <w:rPr>
          <w:b/>
          <w:bCs/>
          <w:sz w:val="18"/>
          <w:szCs w:val="18"/>
          <w:lang w:val="en-GB"/>
        </w:rPr>
      </w:pPr>
    </w:p>
    <w:p w14:paraId="228A0264" w14:textId="5F56C57A" w:rsidR="000765C7" w:rsidRPr="00C617B2" w:rsidRDefault="000765C7" w:rsidP="0088308E">
      <w:pPr>
        <w:spacing w:after="0" w:line="276" w:lineRule="auto"/>
        <w:ind w:left="-284"/>
        <w:rPr>
          <w:b/>
          <w:bCs/>
          <w:sz w:val="20"/>
          <w:szCs w:val="20"/>
          <w:lang w:val="en-GB"/>
        </w:rPr>
      </w:pPr>
      <w:r w:rsidRPr="00C617B2">
        <w:rPr>
          <w:b/>
          <w:bCs/>
          <w:sz w:val="20"/>
          <w:szCs w:val="20"/>
          <w:lang w:val="en-GB"/>
        </w:rPr>
        <w:t>Exclusions:</w:t>
      </w:r>
    </w:p>
    <w:p w14:paraId="238A82D5" w14:textId="77777777" w:rsidR="000765C7" w:rsidRPr="00C617B2" w:rsidRDefault="000765C7" w:rsidP="0088308E">
      <w:pPr>
        <w:pStyle w:val="Lijstalinea"/>
        <w:numPr>
          <w:ilvl w:val="0"/>
          <w:numId w:val="6"/>
        </w:numPr>
        <w:spacing w:after="0" w:line="276" w:lineRule="auto"/>
        <w:ind w:left="-284" w:firstLine="0"/>
        <w:rPr>
          <w:b/>
          <w:bCs/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Normal wear and tear.*</w:t>
      </w:r>
    </w:p>
    <w:p w14:paraId="6E80E45A" w14:textId="139645DD" w:rsidR="00784DEE" w:rsidRPr="00C617B2" w:rsidRDefault="000765C7" w:rsidP="0088308E">
      <w:pPr>
        <w:pStyle w:val="Lijstalinea"/>
        <w:numPr>
          <w:ilvl w:val="0"/>
          <w:numId w:val="6"/>
        </w:numPr>
        <w:spacing w:after="0" w:line="276" w:lineRule="auto"/>
        <w:ind w:left="-284" w:firstLine="0"/>
        <w:rPr>
          <w:b/>
          <w:bCs/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Damage to the product caused by:</w:t>
      </w:r>
    </w:p>
    <w:p w14:paraId="442EDD19" w14:textId="77777777" w:rsidR="000765C7" w:rsidRPr="00C617B2" w:rsidRDefault="000765C7" w:rsidP="008C47AC">
      <w:pPr>
        <w:pStyle w:val="Lijstalinea"/>
        <w:numPr>
          <w:ilvl w:val="0"/>
          <w:numId w:val="7"/>
        </w:numPr>
        <w:tabs>
          <w:tab w:val="left" w:pos="284"/>
        </w:tabs>
        <w:spacing w:after="0" w:line="276" w:lineRule="auto"/>
        <w:ind w:left="-284" w:firstLine="284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accident or other extreme force;</w:t>
      </w:r>
    </w:p>
    <w:p w14:paraId="54E4E059" w14:textId="77777777" w:rsidR="000765C7" w:rsidRPr="00C617B2" w:rsidRDefault="000765C7" w:rsidP="008C47AC">
      <w:pPr>
        <w:pStyle w:val="Lijstalinea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not observing the operating-, maintenance- and/or installation instructions;</w:t>
      </w:r>
    </w:p>
    <w:p w14:paraId="6B7F8F1F" w14:textId="7666EA6B" w:rsidR="000765C7" w:rsidRPr="00C617B2" w:rsidRDefault="000765C7" w:rsidP="008C47AC">
      <w:pPr>
        <w:pStyle w:val="Lijstalinea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 xml:space="preserve">modifications to the </w:t>
      </w:r>
      <w:r w:rsidR="00AA1DC4" w:rsidRPr="00C617B2">
        <w:rPr>
          <w:sz w:val="18"/>
          <w:szCs w:val="18"/>
          <w:lang w:val="en-GB"/>
        </w:rPr>
        <w:t>p</w:t>
      </w:r>
      <w:r w:rsidRPr="00C617B2">
        <w:rPr>
          <w:sz w:val="18"/>
          <w:szCs w:val="18"/>
          <w:lang w:val="en-GB"/>
        </w:rPr>
        <w:t>roduct that were not authorized by VALX;</w:t>
      </w:r>
    </w:p>
    <w:p w14:paraId="17A27B78" w14:textId="4B146E90" w:rsidR="000765C7" w:rsidRPr="00C617B2" w:rsidRDefault="000765C7" w:rsidP="008C47AC">
      <w:pPr>
        <w:pStyle w:val="Lijstalinea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 xml:space="preserve">improper or impermissible use of the </w:t>
      </w:r>
      <w:r w:rsidR="00AA1DC4" w:rsidRPr="00C617B2">
        <w:rPr>
          <w:sz w:val="18"/>
          <w:szCs w:val="18"/>
          <w:lang w:val="en-GB"/>
        </w:rPr>
        <w:t>P</w:t>
      </w:r>
      <w:r w:rsidRPr="00C617B2">
        <w:rPr>
          <w:sz w:val="18"/>
          <w:szCs w:val="18"/>
          <w:lang w:val="en-GB"/>
        </w:rPr>
        <w:t>roduct.</w:t>
      </w:r>
    </w:p>
    <w:p w14:paraId="4F6770F3" w14:textId="77777777" w:rsidR="000765C7" w:rsidRPr="00C617B2" w:rsidRDefault="000765C7" w:rsidP="0088308E">
      <w:pPr>
        <w:pStyle w:val="Lijstalinea"/>
        <w:numPr>
          <w:ilvl w:val="0"/>
          <w:numId w:val="6"/>
        </w:numPr>
        <w:spacing w:after="0" w:line="276" w:lineRule="auto"/>
        <w:ind w:left="-284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When the ODR of the vehicle shows:</w:t>
      </w:r>
    </w:p>
    <w:p w14:paraId="4E65099F" w14:textId="77777777" w:rsidR="000765C7" w:rsidRPr="00C617B2" w:rsidRDefault="000765C7" w:rsidP="008C47AC">
      <w:pPr>
        <w:pStyle w:val="Lijstalinea"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 xml:space="preserve">overloading; </w:t>
      </w:r>
    </w:p>
    <w:p w14:paraId="152EEF75" w14:textId="0C60D7BC" w:rsidR="000765C7" w:rsidRPr="00C617B2" w:rsidRDefault="000765C7" w:rsidP="008C47AC">
      <w:pPr>
        <w:pStyle w:val="Lijstalinea"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 xml:space="preserve">more than </w:t>
      </w:r>
      <w:r w:rsidR="00587C9C" w:rsidRPr="00C617B2">
        <w:rPr>
          <w:sz w:val="18"/>
          <w:szCs w:val="18"/>
          <w:lang w:val="en-GB"/>
        </w:rPr>
        <w:t>0,5</w:t>
      </w:r>
      <w:r w:rsidRPr="00C617B2">
        <w:rPr>
          <w:sz w:val="18"/>
          <w:szCs w:val="18"/>
          <w:lang w:val="en-GB"/>
        </w:rPr>
        <w:t xml:space="preserve">% </w:t>
      </w:r>
      <w:r w:rsidR="00EA5FF6" w:rsidRPr="00C617B2">
        <w:rPr>
          <w:sz w:val="18"/>
          <w:szCs w:val="18"/>
          <w:lang w:val="en-GB"/>
        </w:rPr>
        <w:t xml:space="preserve">of the total registered breaking events </w:t>
      </w:r>
      <w:r w:rsidR="008C48EF" w:rsidRPr="00C617B2">
        <w:rPr>
          <w:sz w:val="18"/>
          <w:szCs w:val="18"/>
          <w:lang w:val="en-GB"/>
        </w:rPr>
        <w:t xml:space="preserve">with the </w:t>
      </w:r>
      <w:r w:rsidRPr="00C617B2">
        <w:rPr>
          <w:sz w:val="18"/>
          <w:szCs w:val="18"/>
          <w:lang w:val="en-GB"/>
        </w:rPr>
        <w:t xml:space="preserve">ABS/EBS not </w:t>
      </w:r>
      <w:r w:rsidR="00E91AFC" w:rsidRPr="00C617B2">
        <w:rPr>
          <w:sz w:val="18"/>
          <w:szCs w:val="18"/>
          <w:lang w:val="en-GB"/>
        </w:rPr>
        <w:t>connected</w:t>
      </w:r>
      <w:r w:rsidRPr="00C617B2">
        <w:rPr>
          <w:sz w:val="18"/>
          <w:szCs w:val="18"/>
          <w:lang w:val="en-GB"/>
        </w:rPr>
        <w:t>;</w:t>
      </w:r>
    </w:p>
    <w:p w14:paraId="55819CA3" w14:textId="4703D68D" w:rsidR="008C48EF" w:rsidRPr="00C617B2" w:rsidRDefault="000D53B6" w:rsidP="008C47AC">
      <w:pPr>
        <w:pStyle w:val="Lijstalinea"/>
        <w:numPr>
          <w:ilvl w:val="0"/>
          <w:numId w:val="8"/>
        </w:numPr>
        <w:tabs>
          <w:tab w:val="left" w:pos="284"/>
        </w:tabs>
        <w:spacing w:after="0" w:line="276" w:lineRule="auto"/>
        <w:ind w:left="-284" w:firstLine="284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more than 0.3% of the total accum</w:t>
      </w:r>
      <w:r w:rsidR="00E52AF4" w:rsidRPr="00C617B2">
        <w:rPr>
          <w:sz w:val="18"/>
          <w:szCs w:val="18"/>
          <w:lang w:val="en-GB"/>
        </w:rPr>
        <w:t>ulated</w:t>
      </w:r>
      <w:r w:rsidR="00E91AFC" w:rsidRPr="00C617B2">
        <w:rPr>
          <w:sz w:val="18"/>
          <w:szCs w:val="18"/>
          <w:lang w:val="en-GB"/>
        </w:rPr>
        <w:t xml:space="preserve"> distance with the ABS/EBS not connected;</w:t>
      </w:r>
    </w:p>
    <w:p w14:paraId="44A5150D" w14:textId="77777777" w:rsidR="000765C7" w:rsidRPr="00C617B2" w:rsidRDefault="000765C7" w:rsidP="008C47AC">
      <w:pPr>
        <w:pStyle w:val="Lijstalinea"/>
        <w:numPr>
          <w:ilvl w:val="0"/>
          <w:numId w:val="8"/>
        </w:numPr>
        <w:tabs>
          <w:tab w:val="left" w:pos="284"/>
        </w:tabs>
        <w:spacing w:after="0" w:line="276" w:lineRule="auto"/>
        <w:ind w:left="-284" w:firstLine="284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 xml:space="preserve">mishandling of the vehicle by using brake pressure over 4 bar or more than 15 RRS2 interventions </w:t>
      </w:r>
    </w:p>
    <w:p w14:paraId="0C255A62" w14:textId="36CB98F7" w:rsidR="000765C7" w:rsidRPr="00C617B2" w:rsidRDefault="00AA1DC4" w:rsidP="0088308E">
      <w:pPr>
        <w:pStyle w:val="Lijstalinea"/>
        <w:numPr>
          <w:ilvl w:val="0"/>
          <w:numId w:val="6"/>
        </w:numPr>
        <w:spacing w:after="0" w:line="276" w:lineRule="auto"/>
        <w:ind w:left="-284" w:firstLine="0"/>
        <w:rPr>
          <w:b/>
          <w:bCs/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Any consequential or subsequent damage arising from failure of the Product is explicitly excluded from warranty coverage.</w:t>
      </w:r>
    </w:p>
    <w:p w14:paraId="10092018" w14:textId="77777777" w:rsidR="000765C7" w:rsidRPr="00C617B2" w:rsidRDefault="000765C7" w:rsidP="0088308E">
      <w:pPr>
        <w:spacing w:after="0" w:line="276" w:lineRule="auto"/>
        <w:ind w:left="-284"/>
        <w:rPr>
          <w:sz w:val="20"/>
          <w:szCs w:val="20"/>
          <w:lang w:val="en-GB"/>
        </w:rPr>
      </w:pPr>
    </w:p>
    <w:p w14:paraId="4920FEED" w14:textId="77777777" w:rsidR="000765C7" w:rsidRPr="00C617B2" w:rsidRDefault="000765C7" w:rsidP="0088308E">
      <w:pPr>
        <w:spacing w:after="0" w:line="276" w:lineRule="auto"/>
        <w:ind w:left="-284"/>
        <w:rPr>
          <w:b/>
          <w:bCs/>
          <w:sz w:val="20"/>
          <w:szCs w:val="20"/>
          <w:lang w:val="en-GB"/>
        </w:rPr>
      </w:pPr>
      <w:r w:rsidRPr="00C617B2">
        <w:rPr>
          <w:b/>
          <w:bCs/>
          <w:sz w:val="20"/>
          <w:szCs w:val="20"/>
          <w:lang w:val="en-GB"/>
        </w:rPr>
        <w:t>Procedural conventions:</w:t>
      </w:r>
    </w:p>
    <w:p w14:paraId="405E84CA" w14:textId="5EDE2BA0" w:rsidR="00AA1DC4" w:rsidRPr="00C617B2" w:rsidRDefault="00AA1DC4" w:rsidP="00AA1DC4">
      <w:pPr>
        <w:pStyle w:val="Lijstalinea"/>
        <w:numPr>
          <w:ilvl w:val="0"/>
          <w:numId w:val="6"/>
        </w:numPr>
        <w:ind w:left="0" w:hanging="284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In case of a warranty claim, the customer or the Workshop must first notify the vehicle manufacturer, following the procedures and guidelines established by the vehicle manufacturer.</w:t>
      </w:r>
    </w:p>
    <w:p w14:paraId="732052CB" w14:textId="31FB5AA3" w:rsidR="000765C7" w:rsidRPr="00C617B2" w:rsidRDefault="006B6569" w:rsidP="00AA1DC4">
      <w:pPr>
        <w:pStyle w:val="Lijstalinea"/>
        <w:numPr>
          <w:ilvl w:val="0"/>
          <w:numId w:val="6"/>
        </w:numPr>
        <w:ind w:left="0" w:hanging="284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T</w:t>
      </w:r>
      <w:r w:rsidR="00AA1DC4" w:rsidRPr="00C617B2">
        <w:rPr>
          <w:sz w:val="18"/>
          <w:szCs w:val="18"/>
          <w:lang w:val="en-GB"/>
        </w:rPr>
        <w:t xml:space="preserve">he vehicle manufacturer, the customer or the Workshop must notify VALX of the warranty claim within two  working days of discovering the failure. Notification should be made by e-mail and must include </w:t>
      </w:r>
      <w:r w:rsidR="0016507E" w:rsidRPr="00C617B2">
        <w:rPr>
          <w:sz w:val="18"/>
          <w:szCs w:val="18"/>
          <w:lang w:val="en-GB"/>
        </w:rPr>
        <w:t>a fully completed Service Case Registration Form Axles</w:t>
      </w:r>
      <w:r w:rsidR="000765C7" w:rsidRPr="00C617B2">
        <w:rPr>
          <w:sz w:val="18"/>
          <w:szCs w:val="18"/>
          <w:lang w:val="en-GB"/>
        </w:rPr>
        <w:t xml:space="preserve">. </w:t>
      </w:r>
    </w:p>
    <w:p w14:paraId="54F9DCBE" w14:textId="37233A5D" w:rsidR="0016507E" w:rsidRPr="00C617B2" w:rsidRDefault="000765C7" w:rsidP="0016507E">
      <w:pPr>
        <w:pStyle w:val="Lijstalinea"/>
        <w:numPr>
          <w:ilvl w:val="0"/>
          <w:numId w:val="6"/>
        </w:numPr>
        <w:spacing w:after="0" w:line="276" w:lineRule="auto"/>
        <w:ind w:left="-284" w:firstLine="0"/>
        <w:rPr>
          <w:sz w:val="18"/>
          <w:szCs w:val="18"/>
          <w:lang w:val="en-US"/>
        </w:rPr>
      </w:pPr>
      <w:r w:rsidRPr="00C617B2">
        <w:rPr>
          <w:sz w:val="18"/>
          <w:szCs w:val="18"/>
          <w:lang w:val="en-GB"/>
        </w:rPr>
        <w:t xml:space="preserve">The customer or the </w:t>
      </w:r>
      <w:r w:rsidR="0016507E" w:rsidRPr="00C617B2">
        <w:rPr>
          <w:sz w:val="18"/>
          <w:szCs w:val="18"/>
          <w:lang w:val="en-GB"/>
        </w:rPr>
        <w:t>W</w:t>
      </w:r>
      <w:r w:rsidRPr="00C617B2">
        <w:rPr>
          <w:sz w:val="18"/>
          <w:szCs w:val="18"/>
          <w:lang w:val="en-GB"/>
        </w:rPr>
        <w:t>orkshop must offer VALX the opportunity to inspect the vehicle and/or the damaged parts.</w:t>
      </w:r>
      <w:r w:rsidR="00E242DB" w:rsidRPr="00C617B2">
        <w:rPr>
          <w:sz w:val="18"/>
          <w:szCs w:val="18"/>
          <w:lang w:val="en-GB"/>
        </w:rPr>
        <w:t xml:space="preserve"> </w:t>
      </w:r>
      <w:r w:rsidR="0016507E" w:rsidRPr="00C617B2">
        <w:rPr>
          <w:sz w:val="18"/>
          <w:szCs w:val="18"/>
          <w:lang w:val="en-GB"/>
        </w:rPr>
        <w:t xml:space="preserve">VALX will </w:t>
      </w:r>
    </w:p>
    <w:p w14:paraId="10965857" w14:textId="77777777" w:rsidR="0016507E" w:rsidRPr="00C617B2" w:rsidRDefault="0016507E" w:rsidP="0016507E">
      <w:pPr>
        <w:pStyle w:val="Lijstalinea"/>
        <w:ind w:left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US"/>
        </w:rPr>
        <w:t xml:space="preserve">acknowledge receipt </w:t>
      </w:r>
      <w:r w:rsidRPr="00C617B2">
        <w:rPr>
          <w:sz w:val="18"/>
          <w:szCs w:val="18"/>
          <w:lang w:val="en-GB"/>
        </w:rPr>
        <w:t>of the warranty claim within two working days of receiving it and will process the claim within a reasonable timeframe.</w:t>
      </w:r>
    </w:p>
    <w:p w14:paraId="5B8F93EA" w14:textId="650E6787" w:rsidR="000765C7" w:rsidRPr="00C617B2" w:rsidRDefault="0016507E" w:rsidP="00CD26CD">
      <w:pPr>
        <w:pStyle w:val="Lijstalinea"/>
        <w:numPr>
          <w:ilvl w:val="0"/>
          <w:numId w:val="6"/>
        </w:numPr>
        <w:spacing w:after="0" w:line="276" w:lineRule="auto"/>
        <w:ind w:left="-284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The customer or the Workshop must send parts to VALX for defect investigation only upon request by VALX.</w:t>
      </w:r>
    </w:p>
    <w:p w14:paraId="2E2A6DA6" w14:textId="3D974C23" w:rsidR="000765C7" w:rsidRPr="00C617B2" w:rsidRDefault="000765C7" w:rsidP="0088308E">
      <w:pPr>
        <w:pStyle w:val="Lijstalinea"/>
        <w:numPr>
          <w:ilvl w:val="0"/>
          <w:numId w:val="6"/>
        </w:numPr>
        <w:spacing w:after="0" w:line="276" w:lineRule="auto"/>
        <w:ind w:left="-284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 xml:space="preserve">Transportation charges </w:t>
      </w:r>
      <w:r w:rsidR="0016507E" w:rsidRPr="00C617B2">
        <w:rPr>
          <w:sz w:val="18"/>
          <w:szCs w:val="18"/>
          <w:lang w:val="en-GB"/>
        </w:rPr>
        <w:t xml:space="preserve">and labour costs not previously authorized by VALX </w:t>
      </w:r>
      <w:r w:rsidRPr="00C617B2">
        <w:rPr>
          <w:sz w:val="18"/>
          <w:szCs w:val="18"/>
          <w:lang w:val="en-GB"/>
        </w:rPr>
        <w:t xml:space="preserve">are not covered under this </w:t>
      </w:r>
      <w:r w:rsidR="0016507E" w:rsidRPr="00C617B2">
        <w:rPr>
          <w:sz w:val="18"/>
          <w:szCs w:val="18"/>
          <w:lang w:val="en-GB"/>
        </w:rPr>
        <w:t>W</w:t>
      </w:r>
      <w:r w:rsidRPr="00C617B2">
        <w:rPr>
          <w:sz w:val="18"/>
          <w:szCs w:val="18"/>
          <w:lang w:val="en-GB"/>
        </w:rPr>
        <w:t>arranty.</w:t>
      </w:r>
    </w:p>
    <w:p w14:paraId="46377714" w14:textId="77777777" w:rsidR="001E4CEB" w:rsidRPr="00C617B2" w:rsidRDefault="001E4CEB" w:rsidP="0088308E">
      <w:pPr>
        <w:pStyle w:val="Lijstalinea"/>
        <w:spacing w:after="0" w:line="276" w:lineRule="auto"/>
        <w:ind w:left="-284"/>
        <w:rPr>
          <w:sz w:val="18"/>
          <w:szCs w:val="18"/>
          <w:lang w:val="en-GB"/>
        </w:rPr>
      </w:pPr>
    </w:p>
    <w:p w14:paraId="36659811" w14:textId="77777777" w:rsidR="000765C7" w:rsidRPr="00C617B2" w:rsidRDefault="000765C7" w:rsidP="0088308E">
      <w:pPr>
        <w:spacing w:after="0" w:line="276" w:lineRule="auto"/>
        <w:ind w:left="-284"/>
        <w:rPr>
          <w:b/>
          <w:bCs/>
          <w:sz w:val="20"/>
          <w:szCs w:val="20"/>
          <w:lang w:val="en-GB"/>
        </w:rPr>
      </w:pPr>
      <w:r w:rsidRPr="00C617B2">
        <w:rPr>
          <w:b/>
          <w:bCs/>
          <w:sz w:val="20"/>
          <w:szCs w:val="20"/>
          <w:lang w:val="en-GB"/>
        </w:rPr>
        <w:t>Terms of the warranty:</w:t>
      </w:r>
    </w:p>
    <w:p w14:paraId="5D38B683" w14:textId="17E3C56C" w:rsidR="00EA1399" w:rsidRPr="00C617B2" w:rsidRDefault="0016507E" w:rsidP="00EA1399">
      <w:pPr>
        <w:spacing w:after="0" w:line="276" w:lineRule="auto"/>
        <w:ind w:left="-284"/>
        <w:rPr>
          <w:sz w:val="18"/>
          <w:szCs w:val="18"/>
          <w:lang w:val="en-US"/>
        </w:rPr>
      </w:pPr>
      <w:bookmarkStart w:id="1" w:name="_Hlk216689423"/>
      <w:r w:rsidRPr="00C617B2">
        <w:rPr>
          <w:sz w:val="18"/>
          <w:szCs w:val="18"/>
          <w:lang w:val="en-GB"/>
        </w:rPr>
        <w:t>The sole responsibility of VALX under this Warranty is limited to repair or replacement of damaged parts at a location designated by VALX.</w:t>
      </w:r>
      <w:bookmarkEnd w:id="1"/>
      <w:r w:rsidRPr="00C617B2">
        <w:rPr>
          <w:sz w:val="18"/>
          <w:szCs w:val="18"/>
          <w:lang w:val="en-GB"/>
        </w:rPr>
        <w:t xml:space="preserve"> </w:t>
      </w:r>
      <w:r w:rsidR="000765C7" w:rsidRPr="00C617B2">
        <w:rPr>
          <w:sz w:val="18"/>
          <w:szCs w:val="18"/>
          <w:lang w:val="en-GB"/>
        </w:rPr>
        <w:t xml:space="preserve"> </w:t>
      </w:r>
      <w:bookmarkStart w:id="2" w:name="_Hlk212041643"/>
      <w:r w:rsidR="00EA1399" w:rsidRPr="00C617B2">
        <w:rPr>
          <w:sz w:val="18"/>
          <w:szCs w:val="18"/>
          <w:lang w:val="en-GB"/>
        </w:rPr>
        <w:t>For VALX t</w:t>
      </w:r>
      <w:r w:rsidR="00EA1399" w:rsidRPr="00C617B2">
        <w:rPr>
          <w:sz w:val="18"/>
          <w:szCs w:val="18"/>
          <w:lang w:val="en-US"/>
        </w:rPr>
        <w:t>o initiate a warranty investigation, the customer is required to submit a claim via the official website https://www.valx.eu by completing the Service Case Registration Form with all required details.</w:t>
      </w:r>
    </w:p>
    <w:p w14:paraId="72878DD4" w14:textId="63BEB586" w:rsidR="000765C7" w:rsidRPr="00C617B2" w:rsidRDefault="000765C7" w:rsidP="0088308E">
      <w:pPr>
        <w:spacing w:after="0" w:line="276" w:lineRule="auto"/>
        <w:ind w:left="-284"/>
        <w:rPr>
          <w:sz w:val="18"/>
          <w:szCs w:val="18"/>
          <w:lang w:val="en-US"/>
        </w:rPr>
      </w:pPr>
    </w:p>
    <w:bookmarkEnd w:id="2"/>
    <w:p w14:paraId="5558ED0F" w14:textId="77777777" w:rsidR="000765C7" w:rsidRPr="00C617B2" w:rsidRDefault="000765C7" w:rsidP="0088308E">
      <w:pPr>
        <w:spacing w:after="0" w:line="276" w:lineRule="auto"/>
        <w:ind w:left="-284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VALX is entitled to change the terms of the warranty without prior notice.</w:t>
      </w:r>
    </w:p>
    <w:p w14:paraId="7A067879" w14:textId="77777777" w:rsidR="001E4CEB" w:rsidRPr="00C617B2" w:rsidRDefault="001E4CEB" w:rsidP="0088308E">
      <w:pPr>
        <w:spacing w:after="0" w:line="276" w:lineRule="auto"/>
        <w:ind w:left="-284"/>
        <w:rPr>
          <w:b/>
          <w:bCs/>
          <w:sz w:val="20"/>
          <w:szCs w:val="20"/>
          <w:lang w:val="en-GB"/>
        </w:rPr>
      </w:pPr>
    </w:p>
    <w:p w14:paraId="2525A2EE" w14:textId="76641F02" w:rsidR="00784DEE" w:rsidRPr="00C617B2" w:rsidRDefault="000765C7" w:rsidP="0088308E">
      <w:pPr>
        <w:spacing w:after="0" w:line="276" w:lineRule="auto"/>
        <w:ind w:left="-284"/>
        <w:rPr>
          <w:b/>
          <w:bCs/>
          <w:sz w:val="20"/>
          <w:szCs w:val="20"/>
          <w:lang w:val="en-GB"/>
        </w:rPr>
      </w:pPr>
      <w:r w:rsidRPr="00C617B2">
        <w:rPr>
          <w:b/>
          <w:bCs/>
          <w:sz w:val="20"/>
          <w:szCs w:val="20"/>
          <w:lang w:val="en-GB"/>
        </w:rPr>
        <w:t>Choice of law and place of jurisdiction:</w:t>
      </w:r>
    </w:p>
    <w:p w14:paraId="6C71A38E" w14:textId="37CDD1FF" w:rsidR="00EA1399" w:rsidRPr="00C617B2" w:rsidRDefault="00EA1399" w:rsidP="00EA1399">
      <w:pPr>
        <w:spacing w:after="0" w:line="276" w:lineRule="auto"/>
        <w:ind w:left="-284"/>
        <w:rPr>
          <w:sz w:val="18"/>
          <w:szCs w:val="18"/>
          <w:lang w:val="en-GB"/>
        </w:rPr>
      </w:pPr>
      <w:bookmarkStart w:id="3" w:name="_Hlk216689690"/>
      <w:r w:rsidRPr="00C617B2">
        <w:rPr>
          <w:sz w:val="18"/>
          <w:szCs w:val="18"/>
          <w:lang w:val="en-GB"/>
        </w:rPr>
        <w:t xml:space="preserve">This warranty is governed by the “General terms and conditions of sales VALX </w:t>
      </w:r>
      <w:r w:rsidR="00C617B2" w:rsidRPr="00C617B2">
        <w:rPr>
          <w:sz w:val="18"/>
          <w:szCs w:val="18"/>
          <w:lang w:val="en-GB"/>
        </w:rPr>
        <w:t>B.V.</w:t>
      </w:r>
      <w:r w:rsidRPr="00C617B2">
        <w:rPr>
          <w:sz w:val="18"/>
          <w:szCs w:val="18"/>
          <w:lang w:val="en-GB"/>
        </w:rPr>
        <w:t>”, except where explicitly stated otherwise within this Warranty. In that case the provision of this Warranty shall prevail.</w:t>
      </w:r>
      <w:bookmarkEnd w:id="3"/>
      <w:r w:rsidRPr="00C617B2">
        <w:rPr>
          <w:sz w:val="18"/>
          <w:szCs w:val="18"/>
          <w:lang w:val="en-GB"/>
        </w:rPr>
        <w:t xml:space="preserve"> </w:t>
      </w:r>
    </w:p>
    <w:p w14:paraId="27872073" w14:textId="254250B2" w:rsidR="001E4CEB" w:rsidRPr="00C617B2" w:rsidRDefault="000765C7" w:rsidP="0088308E">
      <w:pPr>
        <w:spacing w:after="0" w:line="276" w:lineRule="auto"/>
        <w:ind w:left="-284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The Warranty is subject to Dutch law. The exclusive place of jurisdiction is ‘s Hertogenbosch.</w:t>
      </w:r>
    </w:p>
    <w:p w14:paraId="07484404" w14:textId="77777777" w:rsidR="000765C7" w:rsidRPr="00C617B2" w:rsidRDefault="000765C7" w:rsidP="0088308E">
      <w:pPr>
        <w:spacing w:after="0" w:line="276" w:lineRule="auto"/>
        <w:ind w:left="-284"/>
        <w:rPr>
          <w:sz w:val="18"/>
          <w:szCs w:val="18"/>
          <w:lang w:val="en-GB"/>
        </w:rPr>
      </w:pPr>
    </w:p>
    <w:p w14:paraId="3F7054B0" w14:textId="77777777" w:rsidR="00B05058" w:rsidRPr="00C617B2" w:rsidRDefault="00B05058" w:rsidP="0088308E">
      <w:pPr>
        <w:spacing w:after="0" w:line="276" w:lineRule="auto"/>
        <w:ind w:left="-284"/>
        <w:rPr>
          <w:sz w:val="18"/>
          <w:szCs w:val="18"/>
          <w:lang w:val="en-GB"/>
        </w:rPr>
      </w:pPr>
    </w:p>
    <w:p w14:paraId="31252ED9" w14:textId="77777777" w:rsidR="00B05058" w:rsidRPr="00C617B2" w:rsidRDefault="00B05058" w:rsidP="0088308E">
      <w:pPr>
        <w:spacing w:after="0" w:line="276" w:lineRule="auto"/>
        <w:ind w:left="-284"/>
        <w:rPr>
          <w:sz w:val="18"/>
          <w:szCs w:val="18"/>
          <w:lang w:val="en-GB"/>
        </w:rPr>
      </w:pPr>
    </w:p>
    <w:p w14:paraId="7A65FE27" w14:textId="77777777" w:rsidR="000765C7" w:rsidRPr="00C617B2" w:rsidRDefault="000765C7" w:rsidP="0088308E">
      <w:pPr>
        <w:spacing w:after="0" w:line="276" w:lineRule="auto"/>
        <w:ind w:left="-284"/>
        <w:jc w:val="right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Copyright 2026 VALX B.V. All rights reserved.</w:t>
      </w:r>
    </w:p>
    <w:p w14:paraId="75C21C3D" w14:textId="1FE9812B" w:rsidR="000765C7" w:rsidRPr="00C617B2" w:rsidRDefault="000765C7" w:rsidP="0088308E">
      <w:pPr>
        <w:spacing w:after="0" w:line="276" w:lineRule="auto"/>
        <w:ind w:left="-284"/>
        <w:rPr>
          <w:i/>
          <w:sz w:val="18"/>
          <w:szCs w:val="18"/>
          <w:lang w:val="en-GB"/>
        </w:rPr>
      </w:pPr>
      <w:r w:rsidRPr="00C617B2">
        <w:rPr>
          <w:i/>
          <w:sz w:val="18"/>
          <w:szCs w:val="18"/>
          <w:lang w:val="en-GB"/>
        </w:rPr>
        <w:lastRenderedPageBreak/>
        <w:t>*) The following parts are subject to normal wear:</w:t>
      </w:r>
    </w:p>
    <w:p w14:paraId="38B7F01E" w14:textId="77777777" w:rsidR="001E4CEB" w:rsidRPr="00C617B2" w:rsidRDefault="001E4CEB" w:rsidP="0088308E">
      <w:pPr>
        <w:spacing w:after="0" w:line="276" w:lineRule="auto"/>
        <w:ind w:left="-284"/>
        <w:rPr>
          <w:i/>
          <w:sz w:val="18"/>
          <w:szCs w:val="18"/>
          <w:lang w:val="en-GB"/>
        </w:rPr>
      </w:pPr>
    </w:p>
    <w:p w14:paraId="32C23E02" w14:textId="77777777" w:rsidR="000765C7" w:rsidRPr="00C617B2" w:rsidRDefault="000765C7" w:rsidP="0088308E">
      <w:pPr>
        <w:spacing w:after="0" w:line="276" w:lineRule="auto"/>
        <w:ind w:left="-284"/>
        <w:rPr>
          <w:i/>
          <w:sz w:val="18"/>
          <w:szCs w:val="18"/>
          <w:lang w:val="en-US"/>
        </w:rPr>
      </w:pPr>
      <w:r w:rsidRPr="00C617B2">
        <w:rPr>
          <w:i/>
          <w:sz w:val="18"/>
          <w:szCs w:val="18"/>
          <w:lang w:val="en-US"/>
        </w:rPr>
        <w:t>Disc brake axle:</w:t>
      </w:r>
      <w:r w:rsidRPr="00C617B2">
        <w:rPr>
          <w:i/>
          <w:sz w:val="18"/>
          <w:szCs w:val="18"/>
          <w:lang w:val="en-US"/>
        </w:rPr>
        <w:tab/>
      </w:r>
      <w:r w:rsidRPr="00C617B2">
        <w:rPr>
          <w:i/>
          <w:sz w:val="18"/>
          <w:szCs w:val="18"/>
          <w:lang w:val="en-US"/>
        </w:rPr>
        <w:tab/>
      </w:r>
      <w:r w:rsidRPr="00C617B2">
        <w:rPr>
          <w:i/>
          <w:sz w:val="18"/>
          <w:szCs w:val="18"/>
          <w:lang w:val="en-US"/>
        </w:rPr>
        <w:tab/>
        <w:t>Drum brake axle:</w:t>
      </w:r>
      <w:r w:rsidRPr="00C617B2">
        <w:rPr>
          <w:i/>
          <w:sz w:val="18"/>
          <w:szCs w:val="18"/>
          <w:lang w:val="en-US"/>
        </w:rPr>
        <w:tab/>
      </w:r>
      <w:r w:rsidRPr="00C617B2">
        <w:rPr>
          <w:i/>
          <w:sz w:val="18"/>
          <w:szCs w:val="18"/>
          <w:lang w:val="en-US"/>
        </w:rPr>
        <w:tab/>
        <w:t>Suspension:</w:t>
      </w:r>
    </w:p>
    <w:p w14:paraId="60D1914A" w14:textId="43DE9161" w:rsidR="000765C7" w:rsidRPr="00C617B2" w:rsidRDefault="000765C7" w:rsidP="0088308E">
      <w:pPr>
        <w:pStyle w:val="Lijstalinea"/>
        <w:numPr>
          <w:ilvl w:val="0"/>
          <w:numId w:val="4"/>
        </w:numPr>
        <w:spacing w:after="0" w:line="276" w:lineRule="auto"/>
        <w:ind w:left="-284" w:firstLine="0"/>
        <w:rPr>
          <w:i/>
          <w:sz w:val="18"/>
          <w:szCs w:val="18"/>
        </w:rPr>
      </w:pPr>
      <w:r w:rsidRPr="00C617B2">
        <w:rPr>
          <w:i/>
          <w:sz w:val="18"/>
          <w:szCs w:val="18"/>
        </w:rPr>
        <w:t>Brake disc / rotor</w:t>
      </w:r>
      <w:r w:rsidRPr="00C617B2">
        <w:rPr>
          <w:i/>
          <w:sz w:val="18"/>
          <w:szCs w:val="18"/>
        </w:rPr>
        <w:tab/>
      </w:r>
      <w:r w:rsidRPr="00C617B2">
        <w:rPr>
          <w:i/>
          <w:sz w:val="18"/>
          <w:szCs w:val="18"/>
        </w:rPr>
        <w:tab/>
      </w:r>
      <w:r w:rsidR="002139C6" w:rsidRPr="00C617B2">
        <w:rPr>
          <w:i/>
          <w:sz w:val="18"/>
          <w:szCs w:val="18"/>
        </w:rPr>
        <w:tab/>
      </w:r>
      <w:r w:rsidRPr="00C617B2">
        <w:rPr>
          <w:i/>
          <w:sz w:val="18"/>
          <w:szCs w:val="18"/>
        </w:rPr>
        <w:t xml:space="preserve">- </w:t>
      </w:r>
      <w:r w:rsidR="00AF52D4" w:rsidRPr="00C617B2">
        <w:rPr>
          <w:i/>
          <w:sz w:val="18"/>
          <w:szCs w:val="18"/>
        </w:rPr>
        <w:t xml:space="preserve">   </w:t>
      </w:r>
      <w:r w:rsidRPr="00C617B2">
        <w:rPr>
          <w:i/>
          <w:sz w:val="18"/>
          <w:szCs w:val="18"/>
        </w:rPr>
        <w:t xml:space="preserve">Brake drum </w:t>
      </w:r>
      <w:r w:rsidRPr="00C617B2">
        <w:rPr>
          <w:i/>
          <w:sz w:val="18"/>
          <w:szCs w:val="18"/>
        </w:rPr>
        <w:tab/>
        <w:t xml:space="preserve">                </w:t>
      </w:r>
      <w:r w:rsidRPr="00C617B2">
        <w:rPr>
          <w:i/>
          <w:sz w:val="18"/>
          <w:szCs w:val="18"/>
        </w:rPr>
        <w:tab/>
        <w:t xml:space="preserve">- </w:t>
      </w:r>
      <w:r w:rsidR="00AF52D4" w:rsidRPr="00C617B2">
        <w:rPr>
          <w:i/>
          <w:sz w:val="18"/>
          <w:szCs w:val="18"/>
        </w:rPr>
        <w:t xml:space="preserve">  </w:t>
      </w:r>
      <w:r w:rsidRPr="00C617B2">
        <w:rPr>
          <w:i/>
          <w:sz w:val="18"/>
          <w:szCs w:val="18"/>
        </w:rPr>
        <w:t>Shock absorber</w:t>
      </w:r>
    </w:p>
    <w:p w14:paraId="62BFB76C" w14:textId="6DF750AB" w:rsidR="000765C7" w:rsidRPr="004E3584" w:rsidRDefault="000765C7" w:rsidP="0088308E">
      <w:pPr>
        <w:pStyle w:val="Lijstalinea"/>
        <w:numPr>
          <w:ilvl w:val="0"/>
          <w:numId w:val="4"/>
        </w:numPr>
        <w:spacing w:after="0" w:line="276" w:lineRule="auto"/>
        <w:ind w:left="-284" w:firstLine="0"/>
        <w:rPr>
          <w:i/>
          <w:sz w:val="18"/>
          <w:szCs w:val="18"/>
          <w:lang w:val="en-GB"/>
        </w:rPr>
      </w:pPr>
      <w:r w:rsidRPr="00C617B2">
        <w:rPr>
          <w:i/>
          <w:sz w:val="18"/>
          <w:szCs w:val="18"/>
          <w:lang w:val="en-GB"/>
        </w:rPr>
        <w:t>Brake pads</w:t>
      </w:r>
      <w:r w:rsidRPr="00C617B2">
        <w:rPr>
          <w:i/>
          <w:sz w:val="18"/>
          <w:szCs w:val="18"/>
          <w:lang w:val="en-GB"/>
        </w:rPr>
        <w:tab/>
      </w:r>
      <w:r w:rsidRPr="00C617B2">
        <w:rPr>
          <w:i/>
          <w:sz w:val="18"/>
          <w:szCs w:val="18"/>
          <w:lang w:val="en-GB"/>
        </w:rPr>
        <w:tab/>
      </w:r>
      <w:r w:rsidRPr="00C617B2">
        <w:rPr>
          <w:i/>
          <w:sz w:val="18"/>
          <w:szCs w:val="18"/>
          <w:lang w:val="en-GB"/>
        </w:rPr>
        <w:tab/>
        <w:t xml:space="preserve">- </w:t>
      </w:r>
      <w:r w:rsidR="00AF52D4" w:rsidRPr="00C617B2">
        <w:rPr>
          <w:i/>
          <w:sz w:val="18"/>
          <w:szCs w:val="18"/>
          <w:lang w:val="en-GB"/>
        </w:rPr>
        <w:t xml:space="preserve">  </w:t>
      </w:r>
      <w:r w:rsidRPr="00C617B2">
        <w:rPr>
          <w:i/>
          <w:sz w:val="18"/>
          <w:szCs w:val="18"/>
          <w:lang w:val="en-GB"/>
        </w:rPr>
        <w:t>Brake linings</w:t>
      </w:r>
      <w:r w:rsidRPr="00C617B2">
        <w:rPr>
          <w:i/>
          <w:sz w:val="18"/>
          <w:szCs w:val="18"/>
          <w:lang w:val="en-GB"/>
        </w:rPr>
        <w:tab/>
      </w:r>
      <w:r w:rsidRPr="00C617B2">
        <w:rPr>
          <w:i/>
          <w:sz w:val="18"/>
          <w:szCs w:val="18"/>
          <w:lang w:val="en-GB"/>
        </w:rPr>
        <w:tab/>
        <w:t xml:space="preserve">- </w:t>
      </w:r>
      <w:r w:rsidR="00AF52D4" w:rsidRPr="00C617B2">
        <w:rPr>
          <w:i/>
          <w:sz w:val="18"/>
          <w:szCs w:val="18"/>
          <w:lang w:val="en-GB"/>
        </w:rPr>
        <w:t xml:space="preserve">  </w:t>
      </w:r>
      <w:r w:rsidRPr="00C617B2">
        <w:rPr>
          <w:i/>
          <w:sz w:val="18"/>
          <w:szCs w:val="18"/>
          <w:lang w:val="en-GB"/>
        </w:rPr>
        <w:t>Air spring</w:t>
      </w:r>
    </w:p>
    <w:p w14:paraId="6FEC8784" w14:textId="01607F11" w:rsidR="000765C7" w:rsidRPr="00C617B2" w:rsidRDefault="000765C7" w:rsidP="0088308E">
      <w:pPr>
        <w:pStyle w:val="Lijstalinea"/>
        <w:numPr>
          <w:ilvl w:val="0"/>
          <w:numId w:val="4"/>
        </w:numPr>
        <w:spacing w:after="0" w:line="276" w:lineRule="auto"/>
        <w:ind w:left="-284" w:firstLine="0"/>
        <w:rPr>
          <w:i/>
          <w:sz w:val="18"/>
          <w:szCs w:val="18"/>
        </w:rPr>
      </w:pPr>
      <w:r w:rsidRPr="00C617B2">
        <w:rPr>
          <w:i/>
          <w:sz w:val="18"/>
          <w:szCs w:val="18"/>
          <w:lang w:val="en-GB"/>
        </w:rPr>
        <w:t xml:space="preserve">Brake cylinder             </w:t>
      </w:r>
      <w:r w:rsidRPr="00C617B2">
        <w:rPr>
          <w:i/>
          <w:sz w:val="18"/>
          <w:szCs w:val="18"/>
          <w:lang w:val="en-GB"/>
        </w:rPr>
        <w:tab/>
      </w:r>
      <w:r w:rsidRPr="00C617B2">
        <w:rPr>
          <w:i/>
          <w:sz w:val="18"/>
          <w:szCs w:val="18"/>
          <w:lang w:val="en-GB"/>
        </w:rPr>
        <w:tab/>
        <w:t xml:space="preserve">- </w:t>
      </w:r>
      <w:r w:rsidR="00AF52D4" w:rsidRPr="00C617B2">
        <w:rPr>
          <w:i/>
          <w:sz w:val="18"/>
          <w:szCs w:val="18"/>
          <w:lang w:val="en-GB"/>
        </w:rPr>
        <w:t xml:space="preserve">  </w:t>
      </w:r>
      <w:r w:rsidRPr="00C617B2">
        <w:rPr>
          <w:i/>
          <w:sz w:val="18"/>
          <w:szCs w:val="18"/>
          <w:lang w:val="en-GB"/>
        </w:rPr>
        <w:t xml:space="preserve">Brake cylinder            </w:t>
      </w:r>
      <w:r w:rsidRPr="00C617B2">
        <w:rPr>
          <w:i/>
          <w:sz w:val="18"/>
          <w:szCs w:val="18"/>
          <w:lang w:val="en-GB"/>
        </w:rPr>
        <w:tab/>
        <w:t xml:space="preserve">- </w:t>
      </w:r>
      <w:r w:rsidR="00AF52D4" w:rsidRPr="00C617B2">
        <w:rPr>
          <w:i/>
          <w:sz w:val="18"/>
          <w:szCs w:val="18"/>
          <w:lang w:val="en-GB"/>
        </w:rPr>
        <w:t xml:space="preserve">  </w:t>
      </w:r>
      <w:r w:rsidRPr="00C617B2">
        <w:rPr>
          <w:i/>
          <w:sz w:val="18"/>
          <w:szCs w:val="18"/>
          <w:lang w:val="en-GB"/>
        </w:rPr>
        <w:t>Silent bush</w:t>
      </w:r>
    </w:p>
    <w:p w14:paraId="6017D8A0" w14:textId="57520A43" w:rsidR="000765C7" w:rsidRPr="00C617B2" w:rsidRDefault="000765C7" w:rsidP="0088308E">
      <w:pPr>
        <w:pStyle w:val="Lijstalinea"/>
        <w:numPr>
          <w:ilvl w:val="0"/>
          <w:numId w:val="4"/>
        </w:numPr>
        <w:spacing w:after="0" w:line="276" w:lineRule="auto"/>
        <w:ind w:left="-284" w:firstLine="0"/>
        <w:rPr>
          <w:i/>
          <w:sz w:val="18"/>
          <w:szCs w:val="18"/>
          <w:lang w:val="en-GB"/>
        </w:rPr>
      </w:pPr>
      <w:r w:rsidRPr="00C617B2">
        <w:rPr>
          <w:i/>
          <w:sz w:val="18"/>
          <w:szCs w:val="18"/>
          <w:lang w:val="en-GB"/>
        </w:rPr>
        <w:t>Seals in disc brake callipers</w:t>
      </w:r>
      <w:r w:rsidRPr="00C617B2">
        <w:rPr>
          <w:i/>
          <w:sz w:val="18"/>
          <w:szCs w:val="18"/>
          <w:lang w:val="en-GB"/>
        </w:rPr>
        <w:tab/>
        <w:t xml:space="preserve">- </w:t>
      </w:r>
      <w:r w:rsidR="00AF52D4" w:rsidRPr="00C617B2">
        <w:rPr>
          <w:i/>
          <w:sz w:val="18"/>
          <w:szCs w:val="18"/>
          <w:lang w:val="en-GB"/>
        </w:rPr>
        <w:t xml:space="preserve">  </w:t>
      </w:r>
      <w:r w:rsidRPr="00C617B2">
        <w:rPr>
          <w:i/>
          <w:sz w:val="18"/>
          <w:szCs w:val="18"/>
          <w:lang w:val="en-GB"/>
        </w:rPr>
        <w:t>S-cam bearings</w:t>
      </w:r>
      <w:r w:rsidR="00AF52D4" w:rsidRPr="00C617B2">
        <w:rPr>
          <w:i/>
          <w:sz w:val="18"/>
          <w:szCs w:val="18"/>
          <w:lang w:val="en-GB"/>
        </w:rPr>
        <w:t xml:space="preserve"> </w:t>
      </w:r>
    </w:p>
    <w:p w14:paraId="2A009CB4" w14:textId="78A59A7B" w:rsidR="00784DEE" w:rsidRPr="00C617B2" w:rsidRDefault="000765C7" w:rsidP="00554AE7">
      <w:pPr>
        <w:spacing w:after="0" w:line="276" w:lineRule="auto"/>
        <w:ind w:left="1840" w:firstLine="992"/>
        <w:rPr>
          <w:i/>
          <w:sz w:val="18"/>
          <w:szCs w:val="18"/>
          <w:lang w:val="en-GB"/>
        </w:rPr>
      </w:pPr>
      <w:r w:rsidRPr="00C617B2">
        <w:rPr>
          <w:i/>
          <w:sz w:val="18"/>
          <w:szCs w:val="18"/>
          <w:lang w:val="en-GB"/>
        </w:rPr>
        <w:t xml:space="preserve">- </w:t>
      </w:r>
      <w:r w:rsidR="00AF52D4" w:rsidRPr="00C617B2">
        <w:rPr>
          <w:i/>
          <w:sz w:val="18"/>
          <w:szCs w:val="18"/>
          <w:lang w:val="en-GB"/>
        </w:rPr>
        <w:t xml:space="preserve">  </w:t>
      </w:r>
      <w:r w:rsidRPr="00C617B2">
        <w:rPr>
          <w:i/>
          <w:sz w:val="18"/>
          <w:szCs w:val="18"/>
          <w:lang w:val="en-GB"/>
        </w:rPr>
        <w:t>S-camshaft</w:t>
      </w:r>
    </w:p>
    <w:p w14:paraId="245A114D" w14:textId="1450BE6A" w:rsidR="000765C7" w:rsidRPr="00C617B2" w:rsidRDefault="000765C7" w:rsidP="00554AE7">
      <w:pPr>
        <w:spacing w:after="0" w:line="276" w:lineRule="auto"/>
        <w:ind w:left="1840" w:firstLine="992"/>
        <w:rPr>
          <w:i/>
          <w:sz w:val="18"/>
          <w:szCs w:val="18"/>
          <w:lang w:val="en-GB"/>
        </w:rPr>
      </w:pPr>
      <w:r w:rsidRPr="00C617B2">
        <w:rPr>
          <w:i/>
          <w:sz w:val="18"/>
          <w:szCs w:val="18"/>
          <w:lang w:val="en-GB"/>
        </w:rPr>
        <w:t xml:space="preserve">- </w:t>
      </w:r>
      <w:r w:rsidR="00AF52D4" w:rsidRPr="00C617B2">
        <w:rPr>
          <w:i/>
          <w:sz w:val="18"/>
          <w:szCs w:val="18"/>
          <w:lang w:val="en-GB"/>
        </w:rPr>
        <w:t xml:space="preserve">  </w:t>
      </w:r>
      <w:r w:rsidRPr="00C617B2">
        <w:rPr>
          <w:i/>
          <w:sz w:val="18"/>
          <w:szCs w:val="18"/>
          <w:lang w:val="en-GB"/>
        </w:rPr>
        <w:t>Slack adjuster</w:t>
      </w:r>
    </w:p>
    <w:p w14:paraId="2E567A2F" w14:textId="77777777" w:rsidR="000765C7" w:rsidRPr="00C617B2" w:rsidRDefault="000765C7" w:rsidP="0088308E">
      <w:pPr>
        <w:spacing w:after="0" w:line="276" w:lineRule="auto"/>
        <w:ind w:left="-284"/>
        <w:rPr>
          <w:i/>
          <w:sz w:val="18"/>
          <w:szCs w:val="18"/>
          <w:lang w:val="en-GB"/>
        </w:rPr>
      </w:pPr>
    </w:p>
    <w:p w14:paraId="469A344A" w14:textId="08FCE8C1" w:rsidR="000765C7" w:rsidRPr="00C617B2" w:rsidRDefault="000765C7" w:rsidP="0088308E">
      <w:pPr>
        <w:spacing w:after="0" w:line="276" w:lineRule="auto"/>
        <w:ind w:left="-284"/>
        <w:rPr>
          <w:i/>
          <w:sz w:val="18"/>
          <w:szCs w:val="18"/>
          <w:lang w:val="en-GB"/>
        </w:rPr>
      </w:pPr>
      <w:r w:rsidRPr="00C617B2">
        <w:rPr>
          <w:i/>
          <w:sz w:val="18"/>
          <w:szCs w:val="18"/>
          <w:lang w:val="en-GB"/>
        </w:rPr>
        <w:t>All other items are covered as stated in this VALX B.V. Warranty Commitment</w:t>
      </w:r>
    </w:p>
    <w:p w14:paraId="070682E4" w14:textId="77777777" w:rsidR="001E4CEB" w:rsidRDefault="001E4CEB" w:rsidP="0088308E">
      <w:pPr>
        <w:spacing w:after="0" w:line="276" w:lineRule="auto"/>
        <w:ind w:left="-284"/>
        <w:rPr>
          <w:b/>
          <w:bCs/>
          <w:sz w:val="18"/>
          <w:szCs w:val="18"/>
          <w:lang w:val="en-GB"/>
        </w:rPr>
      </w:pPr>
    </w:p>
    <w:p w14:paraId="29D3FD37" w14:textId="77777777" w:rsidR="009A00E2" w:rsidRPr="00C617B2" w:rsidRDefault="009A00E2" w:rsidP="0088308E">
      <w:pPr>
        <w:spacing w:after="0" w:line="276" w:lineRule="auto"/>
        <w:ind w:left="-284"/>
        <w:rPr>
          <w:b/>
          <w:bCs/>
          <w:sz w:val="18"/>
          <w:szCs w:val="18"/>
          <w:lang w:val="en-GB"/>
        </w:rPr>
      </w:pPr>
    </w:p>
    <w:p w14:paraId="093C3FB2" w14:textId="6979F706" w:rsidR="000765C7" w:rsidRPr="00784DEE" w:rsidRDefault="000765C7" w:rsidP="0088308E">
      <w:pPr>
        <w:spacing w:after="0" w:line="276" w:lineRule="auto"/>
        <w:ind w:left="-284"/>
        <w:rPr>
          <w:color w:val="275317" w:themeColor="accent6" w:themeShade="80"/>
          <w:sz w:val="22"/>
          <w:szCs w:val="22"/>
          <w:lang w:val="fr-FR"/>
        </w:rPr>
      </w:pPr>
      <w:r w:rsidRPr="00C617B2">
        <w:rPr>
          <w:b/>
          <w:bCs/>
          <w:sz w:val="18"/>
          <w:szCs w:val="18"/>
          <w:lang w:val="fr-FR"/>
        </w:rPr>
        <w:t>VALX B.V.  Warranty Zones</w:t>
      </w:r>
      <w:r w:rsidRPr="00C617B2">
        <w:rPr>
          <w:sz w:val="18"/>
          <w:szCs w:val="18"/>
          <w:lang w:val="fr-FR"/>
        </w:rPr>
        <w:t xml:space="preserve"> </w:t>
      </w:r>
      <w:r w:rsidRPr="000765C7">
        <w:rPr>
          <w:noProof/>
          <w:color w:val="275317" w:themeColor="accent6" w:themeShade="80"/>
        </w:rPr>
        <w:drawing>
          <wp:inline distT="0" distB="0" distL="0" distR="0" wp14:anchorId="6764404A" wp14:editId="0C0352AB">
            <wp:extent cx="5916295" cy="4633414"/>
            <wp:effectExtent l="0" t="0" r="8255" b="0"/>
            <wp:docPr id="696908918" name="Afbeelding 6" descr="Afbeelding met kaart, atlas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908918" name="Afbeelding 6" descr="Afbeelding met kaart, atlas, tek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420" cy="4653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65C7" w:rsidRPr="00784DEE" w:rsidSect="00E673D6">
      <w:headerReference w:type="default" r:id="rId12"/>
      <w:footerReference w:type="default" r:id="rId13"/>
      <w:pgSz w:w="11906" w:h="16838"/>
      <w:pgMar w:top="1417" w:right="707" w:bottom="1417" w:left="993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8344" w14:textId="77777777" w:rsidR="00080B1C" w:rsidRDefault="00080B1C" w:rsidP="00130728">
      <w:pPr>
        <w:spacing w:after="0" w:line="240" w:lineRule="auto"/>
      </w:pPr>
      <w:r>
        <w:separator/>
      </w:r>
    </w:p>
  </w:endnote>
  <w:endnote w:type="continuationSeparator" w:id="0">
    <w:p w14:paraId="09BD4024" w14:textId="77777777" w:rsidR="00080B1C" w:rsidRDefault="00080B1C" w:rsidP="00130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0A0B" w14:textId="6D0802F5" w:rsidR="00130728" w:rsidRPr="00622B30" w:rsidRDefault="00FA6481" w:rsidP="00B45236">
    <w:pPr>
      <w:pStyle w:val="Voettekst"/>
      <w:ind w:left="-284"/>
      <w:rPr>
        <w:color w:val="275317" w:themeColor="accent6" w:themeShade="80"/>
        <w:sz w:val="12"/>
        <w:szCs w:val="12"/>
      </w:rPr>
    </w:pPr>
    <w:r w:rsidRPr="00622B30">
      <w:rPr>
        <w:noProof/>
        <w:color w:val="275317" w:themeColor="accent6" w:themeShade="80"/>
        <w:sz w:val="12"/>
        <w:szCs w:val="12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7665B2D" wp14:editId="18133695">
              <wp:simplePos x="0" y="0"/>
              <wp:positionH relativeFrom="column">
                <wp:posOffset>-186055</wp:posOffset>
              </wp:positionH>
              <wp:positionV relativeFrom="paragraph">
                <wp:posOffset>-41910</wp:posOffset>
              </wp:positionV>
              <wp:extent cx="6691528" cy="0"/>
              <wp:effectExtent l="0" t="0" r="0" b="0"/>
              <wp:wrapNone/>
              <wp:docPr id="115858839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152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396504" id="Rechte verbindingslijn 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65pt,-3.3pt" to="512.25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" strokecolor="#196b24 [3206]" strokeweight=".5pt">
              <v:stroke joinstyle="miter"/>
            </v:line>
          </w:pict>
        </mc:Fallback>
      </mc:AlternateContent>
    </w:r>
    <w:r w:rsidR="00130728" w:rsidRPr="00622B30">
      <w:rPr>
        <w:color w:val="275317" w:themeColor="accent6" w:themeShade="80"/>
        <w:sz w:val="12"/>
        <w:szCs w:val="12"/>
      </w:rPr>
      <w:t>Valx B.V.</w:t>
    </w:r>
    <w:r w:rsidR="00EF3EA0" w:rsidRPr="00622B30">
      <w:rPr>
        <w:color w:val="275317" w:themeColor="accent6" w:themeShade="80"/>
        <w:sz w:val="12"/>
        <w:szCs w:val="12"/>
      </w:rPr>
      <w:tab/>
    </w:r>
    <w:r w:rsidR="00932CDB" w:rsidRPr="00622B30">
      <w:rPr>
        <w:color w:val="275317" w:themeColor="accent6" w:themeShade="80"/>
        <w:sz w:val="12"/>
        <w:szCs w:val="12"/>
      </w:rPr>
      <w:t xml:space="preserve">              </w:t>
    </w:r>
    <w:r w:rsidR="00EF3EA0" w:rsidRPr="00622B30">
      <w:rPr>
        <w:color w:val="275317" w:themeColor="accent6" w:themeShade="80"/>
        <w:sz w:val="12"/>
        <w:szCs w:val="12"/>
      </w:rPr>
      <w:t xml:space="preserve">T: +31 </w:t>
    </w:r>
    <w:r w:rsidR="00D458C7" w:rsidRPr="00622B30">
      <w:rPr>
        <w:color w:val="275317" w:themeColor="accent6" w:themeShade="80"/>
        <w:sz w:val="12"/>
        <w:szCs w:val="12"/>
      </w:rPr>
      <w:t>(0) 88 405 88 00</w:t>
    </w:r>
    <w:r w:rsidR="00130728" w:rsidRPr="00622B30">
      <w:rPr>
        <w:color w:val="275317" w:themeColor="accent6" w:themeShade="80"/>
        <w:sz w:val="12"/>
        <w:szCs w:val="12"/>
      </w:rPr>
      <w:tab/>
    </w:r>
  </w:p>
  <w:p w14:paraId="78AEB926" w14:textId="77777777" w:rsidR="003E006D" w:rsidRPr="00622B30" w:rsidRDefault="00130728" w:rsidP="003E006D">
    <w:pPr>
      <w:pStyle w:val="Voettekst"/>
      <w:ind w:left="-284"/>
      <w:rPr>
        <w:color w:val="275317" w:themeColor="accent6" w:themeShade="80"/>
        <w:sz w:val="12"/>
        <w:szCs w:val="12"/>
      </w:rPr>
    </w:pPr>
    <w:r w:rsidRPr="00622B30">
      <w:rPr>
        <w:color w:val="275317" w:themeColor="accent6" w:themeShade="80"/>
        <w:sz w:val="12"/>
        <w:szCs w:val="12"/>
      </w:rPr>
      <w:t>Keukenbeemd 4</w:t>
    </w:r>
    <w:r w:rsidR="00923B21" w:rsidRPr="00622B30">
      <w:rPr>
        <w:color w:val="275317" w:themeColor="accent6" w:themeShade="80"/>
        <w:sz w:val="12"/>
        <w:szCs w:val="12"/>
      </w:rPr>
      <w:tab/>
    </w:r>
    <w:r w:rsidR="00E16380" w:rsidRPr="00622B30">
      <w:rPr>
        <w:color w:val="275317" w:themeColor="accent6" w:themeShade="80"/>
        <w:sz w:val="12"/>
        <w:szCs w:val="12"/>
      </w:rPr>
      <w:t>E: info@valx.eu</w:t>
    </w:r>
    <w:r w:rsidR="00D458C7" w:rsidRPr="00622B30">
      <w:rPr>
        <w:color w:val="275317" w:themeColor="accent6" w:themeShade="80"/>
        <w:sz w:val="12"/>
        <w:szCs w:val="12"/>
      </w:rPr>
      <w:tab/>
    </w:r>
  </w:p>
  <w:p w14:paraId="457E360F" w14:textId="322CB87F" w:rsidR="00130728" w:rsidRPr="00622B30" w:rsidRDefault="00130728" w:rsidP="003E006D">
    <w:pPr>
      <w:pStyle w:val="Voettekst"/>
      <w:ind w:left="-284"/>
      <w:rPr>
        <w:color w:val="275317" w:themeColor="accent6" w:themeShade="80"/>
        <w:sz w:val="12"/>
        <w:szCs w:val="12"/>
      </w:rPr>
    </w:pPr>
    <w:r w:rsidRPr="00622B30">
      <w:rPr>
        <w:color w:val="275317" w:themeColor="accent6" w:themeShade="80"/>
        <w:sz w:val="12"/>
        <w:szCs w:val="12"/>
      </w:rPr>
      <w:t>57</w:t>
    </w:r>
    <w:r w:rsidR="000344C9" w:rsidRPr="00622B30">
      <w:rPr>
        <w:color w:val="275317" w:themeColor="accent6" w:themeShade="80"/>
        <w:sz w:val="12"/>
        <w:szCs w:val="12"/>
      </w:rPr>
      <w:t>4</w:t>
    </w:r>
    <w:r w:rsidRPr="00622B30">
      <w:rPr>
        <w:color w:val="275317" w:themeColor="accent6" w:themeShade="80"/>
        <w:sz w:val="12"/>
        <w:szCs w:val="12"/>
      </w:rPr>
      <w:t>1 TV  BEEK EN DONK</w:t>
    </w:r>
    <w:r w:rsidR="00E16380" w:rsidRPr="00622B30">
      <w:rPr>
        <w:color w:val="275317" w:themeColor="accent6" w:themeShade="80"/>
        <w:sz w:val="12"/>
        <w:szCs w:val="12"/>
      </w:rPr>
      <w:tab/>
      <w:t>W: www.valx.eu</w:t>
    </w:r>
  </w:p>
  <w:p w14:paraId="0D664527" w14:textId="67AAFBB4" w:rsidR="006E604D" w:rsidRPr="00622B30" w:rsidRDefault="00130728" w:rsidP="003E006D">
    <w:pPr>
      <w:pStyle w:val="Voettekst"/>
      <w:ind w:left="-284"/>
      <w:rPr>
        <w:color w:val="275317" w:themeColor="accent6" w:themeShade="80"/>
        <w:sz w:val="12"/>
        <w:szCs w:val="12"/>
      </w:rPr>
    </w:pPr>
    <w:r w:rsidRPr="00622B30">
      <w:rPr>
        <w:color w:val="275317" w:themeColor="accent6" w:themeShade="80"/>
        <w:sz w:val="12"/>
        <w:szCs w:val="12"/>
      </w:rPr>
      <w:t>The Netherlands</w:t>
    </w:r>
    <w:r w:rsidR="000D4CB3" w:rsidRPr="00622B30">
      <w:rPr>
        <w:color w:val="275317" w:themeColor="accent6" w:themeShade="80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63011" w14:textId="77777777" w:rsidR="00080B1C" w:rsidRDefault="00080B1C" w:rsidP="00130728">
      <w:pPr>
        <w:spacing w:after="0" w:line="240" w:lineRule="auto"/>
      </w:pPr>
      <w:r>
        <w:separator/>
      </w:r>
    </w:p>
  </w:footnote>
  <w:footnote w:type="continuationSeparator" w:id="0">
    <w:p w14:paraId="13B58466" w14:textId="77777777" w:rsidR="00080B1C" w:rsidRDefault="00080B1C" w:rsidP="00130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341F" w14:textId="77777777" w:rsidR="001C6A4B" w:rsidRDefault="00130728" w:rsidP="00CA549D">
    <w:pPr>
      <w:pStyle w:val="Koptekst"/>
      <w:tabs>
        <w:tab w:val="clear" w:pos="9072"/>
        <w:tab w:val="right" w:pos="9781"/>
      </w:tabs>
      <w:ind w:right="-284"/>
    </w:pPr>
    <w:r>
      <w:t xml:space="preserve">                                             </w:t>
    </w:r>
  </w:p>
  <w:tbl>
    <w:tblPr>
      <w:tblStyle w:val="Tabelraster"/>
      <w:tblW w:w="1049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92"/>
      <w:gridCol w:w="6379"/>
      <w:gridCol w:w="1984"/>
    </w:tblGrid>
    <w:tr w:rsidR="007A06F0" w14:paraId="32FFEBF2" w14:textId="77777777" w:rsidTr="006F3047">
      <w:tc>
        <w:tcPr>
          <w:tcW w:w="1135" w:type="dxa"/>
          <w:vAlign w:val="center"/>
        </w:tcPr>
        <w:p w14:paraId="56902A32" w14:textId="7BF609BA" w:rsidR="00793BA0" w:rsidRPr="007B6B8E" w:rsidRDefault="005E4655" w:rsidP="007B6B8E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  <w:sz w:val="12"/>
              <w:szCs w:val="12"/>
            </w:rPr>
          </w:pPr>
          <w:r w:rsidRPr="007B6B8E">
            <w:rPr>
              <w:color w:val="275317" w:themeColor="accent6" w:themeShade="80"/>
              <w:sz w:val="12"/>
              <w:szCs w:val="12"/>
            </w:rPr>
            <w:t>Form nr.</w:t>
          </w:r>
        </w:p>
      </w:tc>
      <w:tc>
        <w:tcPr>
          <w:tcW w:w="992" w:type="dxa"/>
          <w:vAlign w:val="center"/>
        </w:tcPr>
        <w:p w14:paraId="0320F53A" w14:textId="096A57BE" w:rsidR="00793BA0" w:rsidRPr="00942D7C" w:rsidRDefault="001E4CEB" w:rsidP="007A06F0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  <w:sz w:val="12"/>
              <w:szCs w:val="12"/>
            </w:rPr>
          </w:pPr>
          <w:r>
            <w:rPr>
              <w:color w:val="275317" w:themeColor="accent6" w:themeShade="80"/>
              <w:sz w:val="12"/>
              <w:szCs w:val="12"/>
            </w:rPr>
            <w:t>V-D-WAR-000</w:t>
          </w:r>
          <w:r w:rsidR="00D2123E">
            <w:rPr>
              <w:color w:val="275317" w:themeColor="accent6" w:themeShade="80"/>
              <w:sz w:val="12"/>
              <w:szCs w:val="12"/>
            </w:rPr>
            <w:t>1</w:t>
          </w:r>
        </w:p>
      </w:tc>
      <w:tc>
        <w:tcPr>
          <w:tcW w:w="6379" w:type="dxa"/>
          <w:vMerge w:val="restart"/>
          <w:vAlign w:val="center"/>
        </w:tcPr>
        <w:p w14:paraId="3186944C" w14:textId="73EBA867" w:rsidR="00793BA0" w:rsidRPr="001E19AC" w:rsidRDefault="001E4CEB" w:rsidP="001E4CEB">
          <w:pPr>
            <w:pStyle w:val="Koptekst"/>
            <w:tabs>
              <w:tab w:val="clear" w:pos="9072"/>
              <w:tab w:val="right" w:pos="9781"/>
            </w:tabs>
            <w:ind w:right="-284"/>
            <w:jc w:val="center"/>
            <w:rPr>
              <w:color w:val="275317" w:themeColor="accent6" w:themeShade="80"/>
              <w:sz w:val="28"/>
              <w:szCs w:val="28"/>
            </w:rPr>
          </w:pPr>
          <w:r w:rsidRPr="001E4CEB">
            <w:rPr>
              <w:color w:val="275317" w:themeColor="accent6" w:themeShade="80"/>
            </w:rPr>
            <w:t>Warrenty Commitment 9 tonne axles and air suspension system</w:t>
          </w:r>
        </w:p>
      </w:tc>
      <w:tc>
        <w:tcPr>
          <w:tcW w:w="1984" w:type="dxa"/>
          <w:vMerge w:val="restart"/>
          <w:vAlign w:val="center"/>
        </w:tcPr>
        <w:p w14:paraId="12F3EE0C" w14:textId="765F9713" w:rsidR="00793BA0" w:rsidRPr="00793BA0" w:rsidRDefault="00AC0898" w:rsidP="007076EB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</w:rPr>
          </w:pPr>
          <w:r>
            <w:rPr>
              <w:noProof/>
            </w:rPr>
            <w:drawing>
              <wp:inline distT="0" distB="0" distL="0" distR="0" wp14:anchorId="4C339E60" wp14:editId="734FA70F">
                <wp:extent cx="1161933" cy="186567"/>
                <wp:effectExtent l="0" t="0" r="635" b="4445"/>
                <wp:docPr id="501883931" name="Afbeelding 501883931" descr="Afbeelding met schermopname, Graphics, grafische vormgeving, groen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schermopname, Graphics, grafische vormgeving, groen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924" cy="189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A06F0" w14:paraId="25953479" w14:textId="77777777" w:rsidTr="006F3047">
      <w:tc>
        <w:tcPr>
          <w:tcW w:w="1135" w:type="dxa"/>
          <w:vAlign w:val="center"/>
        </w:tcPr>
        <w:p w14:paraId="5DF64E94" w14:textId="2B1E7A78" w:rsidR="005E4655" w:rsidRPr="007B6B8E" w:rsidRDefault="005E4655" w:rsidP="007B6B8E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  <w:sz w:val="12"/>
              <w:szCs w:val="12"/>
            </w:rPr>
          </w:pPr>
          <w:r w:rsidRPr="007B6B8E">
            <w:rPr>
              <w:color w:val="275317" w:themeColor="accent6" w:themeShade="80"/>
              <w:sz w:val="12"/>
              <w:szCs w:val="12"/>
            </w:rPr>
            <w:t>Revision</w:t>
          </w:r>
        </w:p>
      </w:tc>
      <w:tc>
        <w:tcPr>
          <w:tcW w:w="992" w:type="dxa"/>
          <w:vAlign w:val="center"/>
        </w:tcPr>
        <w:p w14:paraId="1F0B757D" w14:textId="3C1F2C90" w:rsidR="00793BA0" w:rsidRPr="00942D7C" w:rsidRDefault="001E4CEB" w:rsidP="007A06F0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  <w:sz w:val="12"/>
              <w:szCs w:val="12"/>
            </w:rPr>
          </w:pPr>
          <w:r>
            <w:rPr>
              <w:color w:val="275317" w:themeColor="accent6" w:themeShade="80"/>
              <w:sz w:val="12"/>
              <w:szCs w:val="12"/>
            </w:rPr>
            <w:t>001</w:t>
          </w:r>
        </w:p>
      </w:tc>
      <w:tc>
        <w:tcPr>
          <w:tcW w:w="6379" w:type="dxa"/>
          <w:vMerge/>
        </w:tcPr>
        <w:p w14:paraId="4144DE04" w14:textId="77777777" w:rsidR="00793BA0" w:rsidRPr="00793BA0" w:rsidRDefault="00793BA0" w:rsidP="00CA549D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</w:rPr>
          </w:pPr>
        </w:p>
      </w:tc>
      <w:tc>
        <w:tcPr>
          <w:tcW w:w="1984" w:type="dxa"/>
          <w:vMerge/>
        </w:tcPr>
        <w:p w14:paraId="0A060FB4" w14:textId="77777777" w:rsidR="00793BA0" w:rsidRPr="00793BA0" w:rsidRDefault="00793BA0" w:rsidP="00CA549D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</w:rPr>
          </w:pPr>
        </w:p>
      </w:tc>
    </w:tr>
    <w:tr w:rsidR="007A06F0" w14:paraId="788F73CD" w14:textId="77777777" w:rsidTr="001E4CEB">
      <w:trPr>
        <w:trHeight w:val="133"/>
      </w:trPr>
      <w:tc>
        <w:tcPr>
          <w:tcW w:w="1135" w:type="dxa"/>
          <w:vAlign w:val="center"/>
        </w:tcPr>
        <w:p w14:paraId="6BBC9107" w14:textId="4E7BF943" w:rsidR="00793BA0" w:rsidRPr="007B6B8E" w:rsidRDefault="005E4655" w:rsidP="007B6B8E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  <w:sz w:val="12"/>
              <w:szCs w:val="12"/>
            </w:rPr>
          </w:pPr>
          <w:r w:rsidRPr="007B6B8E">
            <w:rPr>
              <w:color w:val="275317" w:themeColor="accent6" w:themeShade="80"/>
              <w:sz w:val="12"/>
              <w:szCs w:val="12"/>
            </w:rPr>
            <w:t>Revision date</w:t>
          </w:r>
        </w:p>
      </w:tc>
      <w:tc>
        <w:tcPr>
          <w:tcW w:w="992" w:type="dxa"/>
          <w:vAlign w:val="center"/>
        </w:tcPr>
        <w:p w14:paraId="680AD5C1" w14:textId="4E225489" w:rsidR="00793BA0" w:rsidRPr="00942D7C" w:rsidRDefault="00793BA0" w:rsidP="007A06F0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  <w:sz w:val="12"/>
              <w:szCs w:val="12"/>
            </w:rPr>
          </w:pPr>
        </w:p>
      </w:tc>
      <w:tc>
        <w:tcPr>
          <w:tcW w:w="6379" w:type="dxa"/>
          <w:vMerge/>
        </w:tcPr>
        <w:p w14:paraId="49F072B2" w14:textId="77777777" w:rsidR="00793BA0" w:rsidRPr="00793BA0" w:rsidRDefault="00793BA0" w:rsidP="00CA549D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</w:rPr>
          </w:pPr>
        </w:p>
      </w:tc>
      <w:tc>
        <w:tcPr>
          <w:tcW w:w="1984" w:type="dxa"/>
          <w:vMerge/>
        </w:tcPr>
        <w:p w14:paraId="286CFF6B" w14:textId="77777777" w:rsidR="00793BA0" w:rsidRPr="00793BA0" w:rsidRDefault="00793BA0" w:rsidP="00CA549D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</w:rPr>
          </w:pPr>
        </w:p>
      </w:tc>
    </w:tr>
    <w:tr w:rsidR="00793BA0" w14:paraId="63F44022" w14:textId="77777777" w:rsidTr="006F3047">
      <w:trPr>
        <w:trHeight w:val="50"/>
      </w:trPr>
      <w:tc>
        <w:tcPr>
          <w:tcW w:w="1135" w:type="dxa"/>
          <w:vAlign w:val="center"/>
        </w:tcPr>
        <w:p w14:paraId="6B5E6DE2" w14:textId="3B68CE22" w:rsidR="00793BA0" w:rsidRPr="007B6B8E" w:rsidRDefault="00793BA0" w:rsidP="007B6B8E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  <w:sz w:val="12"/>
              <w:szCs w:val="12"/>
            </w:rPr>
          </w:pPr>
          <w:r w:rsidRPr="007B6B8E">
            <w:rPr>
              <w:color w:val="275317" w:themeColor="accent6" w:themeShade="80"/>
              <w:sz w:val="12"/>
              <w:szCs w:val="12"/>
            </w:rPr>
            <w:t>Change log:</w:t>
          </w:r>
        </w:p>
      </w:tc>
      <w:tc>
        <w:tcPr>
          <w:tcW w:w="9355" w:type="dxa"/>
          <w:gridSpan w:val="3"/>
          <w:vAlign w:val="center"/>
        </w:tcPr>
        <w:p w14:paraId="2C2A0AFC" w14:textId="1CB78BC4" w:rsidR="00793BA0" w:rsidRPr="00942D7C" w:rsidRDefault="0018610E" w:rsidP="007A06F0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  <w:sz w:val="14"/>
              <w:szCs w:val="14"/>
            </w:rPr>
          </w:pPr>
          <w:r w:rsidRPr="0018610E">
            <w:rPr>
              <w:color w:val="275317" w:themeColor="accent6" w:themeShade="80"/>
              <w:sz w:val="12"/>
              <w:szCs w:val="12"/>
            </w:rPr>
            <w:t>Initial version</w:t>
          </w:r>
        </w:p>
      </w:tc>
    </w:tr>
  </w:tbl>
  <w:p w14:paraId="721EC1EF" w14:textId="3866FC6C" w:rsidR="000F3BBA" w:rsidRDefault="007A06F0" w:rsidP="003E2BA2">
    <w:pPr>
      <w:pStyle w:val="Koptekst"/>
      <w:tabs>
        <w:tab w:val="clear" w:pos="9072"/>
        <w:tab w:val="right" w:pos="9781"/>
      </w:tabs>
      <w:ind w:left="-426" w:right="-284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28ACB27" wp14:editId="783D1076">
              <wp:simplePos x="0" y="0"/>
              <wp:positionH relativeFrom="column">
                <wp:posOffset>-226794</wp:posOffset>
              </wp:positionH>
              <wp:positionV relativeFrom="paragraph">
                <wp:posOffset>54915</wp:posOffset>
              </wp:positionV>
              <wp:extent cx="6728382" cy="0"/>
              <wp:effectExtent l="0" t="0" r="0" b="0"/>
              <wp:wrapNone/>
              <wp:docPr id="1269961722" name="Rechte verbindingslij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2838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7E3EB7" id="Rechte verbindingslijn 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85pt,4.3pt" to="511.9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" strokecolor="#196b24 [3206]" strokeweight=".5pt">
              <v:stroke joinstyle="miter"/>
            </v:line>
          </w:pict>
        </mc:Fallback>
      </mc:AlternateContent>
    </w:r>
    <w:r w:rsidR="00130728">
      <w:t xml:space="preserve">                                                                   </w:t>
    </w:r>
    <w:r w:rsidR="00AC5585">
      <w:tab/>
    </w:r>
    <w:r w:rsidR="00335563">
      <w:tab/>
    </w:r>
    <w:r w:rsidR="00130728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D20"/>
    <w:multiLevelType w:val="hybridMultilevel"/>
    <w:tmpl w:val="14B82F7E"/>
    <w:lvl w:ilvl="0" w:tplc="E1DEA8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07621"/>
    <w:multiLevelType w:val="hybridMultilevel"/>
    <w:tmpl w:val="F70ABCE0"/>
    <w:lvl w:ilvl="0" w:tplc="65968C1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C5156"/>
    <w:multiLevelType w:val="hybridMultilevel"/>
    <w:tmpl w:val="8E70D84A"/>
    <w:lvl w:ilvl="0" w:tplc="04090003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385E39D6"/>
    <w:multiLevelType w:val="hybridMultilevel"/>
    <w:tmpl w:val="4764360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06696"/>
    <w:multiLevelType w:val="hybridMultilevel"/>
    <w:tmpl w:val="9C04F202"/>
    <w:lvl w:ilvl="0" w:tplc="E1DEA8D0">
      <w:start w:val="2"/>
      <w:numFmt w:val="bullet"/>
      <w:lvlText w:val="-"/>
      <w:lvlJc w:val="left"/>
      <w:pPr>
        <w:ind w:left="1998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5" w15:restartNumberingAfterBreak="0">
    <w:nsid w:val="54DD7C23"/>
    <w:multiLevelType w:val="hybridMultilevel"/>
    <w:tmpl w:val="83B423A4"/>
    <w:lvl w:ilvl="0" w:tplc="7A7EB6AC">
      <w:numFmt w:val="bullet"/>
      <w:lvlText w:val="-"/>
      <w:lvlJc w:val="left"/>
      <w:pPr>
        <w:ind w:left="926" w:hanging="360"/>
      </w:pPr>
      <w:rPr>
        <w:rFonts w:ascii="Aptos" w:eastAsia="Times New Roman" w:hAnsi="Apto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 w15:restartNumberingAfterBreak="0">
    <w:nsid w:val="56930949"/>
    <w:multiLevelType w:val="hybridMultilevel"/>
    <w:tmpl w:val="17B857A0"/>
    <w:lvl w:ilvl="0" w:tplc="E1DEA8D0">
      <w:start w:val="2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5E8C67F0"/>
    <w:multiLevelType w:val="hybridMultilevel"/>
    <w:tmpl w:val="FBDCEA02"/>
    <w:lvl w:ilvl="0" w:tplc="02608AC6">
      <w:start w:val="9"/>
      <w:numFmt w:val="bullet"/>
      <w:lvlText w:val="-"/>
      <w:lvlJc w:val="left"/>
      <w:pPr>
        <w:ind w:left="1080" w:hanging="360"/>
      </w:pPr>
      <w:rPr>
        <w:rFonts w:ascii="Aptos" w:eastAsia="Times New Roman" w:hAnsi="Aptos" w:cs="Times New Roman" w:hint="default"/>
        <w:lang w:val="en-GB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A3300D"/>
    <w:multiLevelType w:val="hybridMultilevel"/>
    <w:tmpl w:val="2FF078C6"/>
    <w:lvl w:ilvl="0" w:tplc="E1DEA8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A0BCC"/>
    <w:multiLevelType w:val="hybridMultilevel"/>
    <w:tmpl w:val="0D5AB6A2"/>
    <w:lvl w:ilvl="0" w:tplc="0409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10" w15:restartNumberingAfterBreak="0">
    <w:nsid w:val="6A5C1C7C"/>
    <w:multiLevelType w:val="hybridMultilevel"/>
    <w:tmpl w:val="FB766BA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04580">
    <w:abstractNumId w:val="3"/>
  </w:num>
  <w:num w:numId="2" w16cid:durableId="1809476334">
    <w:abstractNumId w:val="10"/>
  </w:num>
  <w:num w:numId="3" w16cid:durableId="856843607">
    <w:abstractNumId w:val="1"/>
  </w:num>
  <w:num w:numId="4" w16cid:durableId="1772166690">
    <w:abstractNumId w:val="8"/>
  </w:num>
  <w:num w:numId="5" w16cid:durableId="1035033837">
    <w:abstractNumId w:val="5"/>
  </w:num>
  <w:num w:numId="6" w16cid:durableId="417098667">
    <w:abstractNumId w:val="6"/>
  </w:num>
  <w:num w:numId="7" w16cid:durableId="898900133">
    <w:abstractNumId w:val="9"/>
  </w:num>
  <w:num w:numId="8" w16cid:durableId="341976898">
    <w:abstractNumId w:val="2"/>
  </w:num>
  <w:num w:numId="9" w16cid:durableId="1092896261">
    <w:abstractNumId w:val="7"/>
  </w:num>
  <w:num w:numId="10" w16cid:durableId="326131815">
    <w:abstractNumId w:val="0"/>
  </w:num>
  <w:num w:numId="11" w16cid:durableId="337538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readOnly" w:formatting="1" w:enforcement="1" w:cryptProviderType="rsaAES" w:cryptAlgorithmClass="hash" w:cryptAlgorithmType="typeAny" w:cryptAlgorithmSid="14" w:cryptSpinCount="100000" w:hash="vtGbe8TRYK12Z5dfs9t55yTThR6XbY1VdJHULA8r0HwUYBueVGE/edmu1iI4KW6TlZAmCJgdYqHtluZDy/35ng==" w:salt="Gz6hNwHPzCeuNKgj2oF5x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28"/>
    <w:rsid w:val="00002E60"/>
    <w:rsid w:val="000030B9"/>
    <w:rsid w:val="00017C75"/>
    <w:rsid w:val="0002185A"/>
    <w:rsid w:val="000344C9"/>
    <w:rsid w:val="00043EAE"/>
    <w:rsid w:val="00052FD5"/>
    <w:rsid w:val="000765C7"/>
    <w:rsid w:val="00080B1C"/>
    <w:rsid w:val="00090C0D"/>
    <w:rsid w:val="000A0031"/>
    <w:rsid w:val="000C51EE"/>
    <w:rsid w:val="000D186D"/>
    <w:rsid w:val="000D2283"/>
    <w:rsid w:val="000D4CB3"/>
    <w:rsid w:val="000D532A"/>
    <w:rsid w:val="000D53B6"/>
    <w:rsid w:val="000F3BBA"/>
    <w:rsid w:val="0010356A"/>
    <w:rsid w:val="00127308"/>
    <w:rsid w:val="00130728"/>
    <w:rsid w:val="00130825"/>
    <w:rsid w:val="00133BEF"/>
    <w:rsid w:val="0015077F"/>
    <w:rsid w:val="001610B8"/>
    <w:rsid w:val="0016507E"/>
    <w:rsid w:val="0018610E"/>
    <w:rsid w:val="001953B5"/>
    <w:rsid w:val="001A6699"/>
    <w:rsid w:val="001C10F1"/>
    <w:rsid w:val="001C2E06"/>
    <w:rsid w:val="001C6A4B"/>
    <w:rsid w:val="001D5BE1"/>
    <w:rsid w:val="001E19AC"/>
    <w:rsid w:val="001E4CEB"/>
    <w:rsid w:val="002139C6"/>
    <w:rsid w:val="00286773"/>
    <w:rsid w:val="002B1AE6"/>
    <w:rsid w:val="002C7F02"/>
    <w:rsid w:val="002D253E"/>
    <w:rsid w:val="002D495F"/>
    <w:rsid w:val="002D5546"/>
    <w:rsid w:val="002E591E"/>
    <w:rsid w:val="002E7BC6"/>
    <w:rsid w:val="0031117F"/>
    <w:rsid w:val="003111DA"/>
    <w:rsid w:val="00335563"/>
    <w:rsid w:val="003870BE"/>
    <w:rsid w:val="003A4B7D"/>
    <w:rsid w:val="003B66EC"/>
    <w:rsid w:val="003D74AF"/>
    <w:rsid w:val="003E006D"/>
    <w:rsid w:val="003E2BA2"/>
    <w:rsid w:val="003E4835"/>
    <w:rsid w:val="003E7A3C"/>
    <w:rsid w:val="003F254C"/>
    <w:rsid w:val="003F2A80"/>
    <w:rsid w:val="00413045"/>
    <w:rsid w:val="004141FE"/>
    <w:rsid w:val="004303C0"/>
    <w:rsid w:val="00444DF8"/>
    <w:rsid w:val="00450164"/>
    <w:rsid w:val="0047421A"/>
    <w:rsid w:val="004802B6"/>
    <w:rsid w:val="004922B3"/>
    <w:rsid w:val="0049260A"/>
    <w:rsid w:val="004A290B"/>
    <w:rsid w:val="004A7F9E"/>
    <w:rsid w:val="004D31B2"/>
    <w:rsid w:val="004E0716"/>
    <w:rsid w:val="004E3584"/>
    <w:rsid w:val="00506C33"/>
    <w:rsid w:val="00516C3D"/>
    <w:rsid w:val="00520026"/>
    <w:rsid w:val="005235A3"/>
    <w:rsid w:val="0052580D"/>
    <w:rsid w:val="00535B2E"/>
    <w:rsid w:val="00540B4A"/>
    <w:rsid w:val="00546E01"/>
    <w:rsid w:val="00554AE7"/>
    <w:rsid w:val="005632E4"/>
    <w:rsid w:val="00587C9C"/>
    <w:rsid w:val="0059599B"/>
    <w:rsid w:val="005B0EBB"/>
    <w:rsid w:val="005B4383"/>
    <w:rsid w:val="005C5513"/>
    <w:rsid w:val="005C7794"/>
    <w:rsid w:val="005C7F1A"/>
    <w:rsid w:val="005D0E3C"/>
    <w:rsid w:val="005D5D32"/>
    <w:rsid w:val="005D6142"/>
    <w:rsid w:val="005E0008"/>
    <w:rsid w:val="005E17B3"/>
    <w:rsid w:val="005E4655"/>
    <w:rsid w:val="00612F80"/>
    <w:rsid w:val="00614F90"/>
    <w:rsid w:val="006207AE"/>
    <w:rsid w:val="00622B30"/>
    <w:rsid w:val="00626790"/>
    <w:rsid w:val="00634BDA"/>
    <w:rsid w:val="00636149"/>
    <w:rsid w:val="00637172"/>
    <w:rsid w:val="00663A67"/>
    <w:rsid w:val="00664AF8"/>
    <w:rsid w:val="006A67FB"/>
    <w:rsid w:val="006A6974"/>
    <w:rsid w:val="006B6569"/>
    <w:rsid w:val="006D2DB8"/>
    <w:rsid w:val="006D38CC"/>
    <w:rsid w:val="006E604D"/>
    <w:rsid w:val="006E689F"/>
    <w:rsid w:val="006F3047"/>
    <w:rsid w:val="006F52A1"/>
    <w:rsid w:val="007076EB"/>
    <w:rsid w:val="00735901"/>
    <w:rsid w:val="007550A9"/>
    <w:rsid w:val="00771E29"/>
    <w:rsid w:val="007800C0"/>
    <w:rsid w:val="00782D36"/>
    <w:rsid w:val="007848DF"/>
    <w:rsid w:val="00784DEE"/>
    <w:rsid w:val="00785768"/>
    <w:rsid w:val="00793BA0"/>
    <w:rsid w:val="00794D88"/>
    <w:rsid w:val="007A06F0"/>
    <w:rsid w:val="007A60E6"/>
    <w:rsid w:val="007B6B8E"/>
    <w:rsid w:val="007D2C1A"/>
    <w:rsid w:val="007E4C23"/>
    <w:rsid w:val="008251E8"/>
    <w:rsid w:val="00825F24"/>
    <w:rsid w:val="0083322E"/>
    <w:rsid w:val="00836441"/>
    <w:rsid w:val="0084514B"/>
    <w:rsid w:val="00846062"/>
    <w:rsid w:val="00851445"/>
    <w:rsid w:val="00882C4D"/>
    <w:rsid w:val="0088308E"/>
    <w:rsid w:val="008A41C6"/>
    <w:rsid w:val="008C47AC"/>
    <w:rsid w:val="008C48EF"/>
    <w:rsid w:val="008D6646"/>
    <w:rsid w:val="008E73FF"/>
    <w:rsid w:val="0090499B"/>
    <w:rsid w:val="00915F84"/>
    <w:rsid w:val="00923B21"/>
    <w:rsid w:val="00932CDB"/>
    <w:rsid w:val="00942D7C"/>
    <w:rsid w:val="00947EF9"/>
    <w:rsid w:val="009533E1"/>
    <w:rsid w:val="00960EDC"/>
    <w:rsid w:val="0096405A"/>
    <w:rsid w:val="00973743"/>
    <w:rsid w:val="00976BAE"/>
    <w:rsid w:val="009855C1"/>
    <w:rsid w:val="00990670"/>
    <w:rsid w:val="009A00E2"/>
    <w:rsid w:val="009A6E79"/>
    <w:rsid w:val="009B53DA"/>
    <w:rsid w:val="009F3DA6"/>
    <w:rsid w:val="00A0272F"/>
    <w:rsid w:val="00A056A1"/>
    <w:rsid w:val="00A15643"/>
    <w:rsid w:val="00A16115"/>
    <w:rsid w:val="00A31B6E"/>
    <w:rsid w:val="00A371AF"/>
    <w:rsid w:val="00A52D41"/>
    <w:rsid w:val="00A542AD"/>
    <w:rsid w:val="00A709ED"/>
    <w:rsid w:val="00A72F4F"/>
    <w:rsid w:val="00A742B8"/>
    <w:rsid w:val="00A92ECE"/>
    <w:rsid w:val="00AA1DC4"/>
    <w:rsid w:val="00AB497B"/>
    <w:rsid w:val="00AB4CEE"/>
    <w:rsid w:val="00AB6B9A"/>
    <w:rsid w:val="00AC0898"/>
    <w:rsid w:val="00AC19F8"/>
    <w:rsid w:val="00AC5585"/>
    <w:rsid w:val="00AD0BA9"/>
    <w:rsid w:val="00AF52D4"/>
    <w:rsid w:val="00B05058"/>
    <w:rsid w:val="00B17628"/>
    <w:rsid w:val="00B20C97"/>
    <w:rsid w:val="00B2337D"/>
    <w:rsid w:val="00B26407"/>
    <w:rsid w:val="00B411EA"/>
    <w:rsid w:val="00B44431"/>
    <w:rsid w:val="00B45236"/>
    <w:rsid w:val="00B45A58"/>
    <w:rsid w:val="00B47FFB"/>
    <w:rsid w:val="00B61A0C"/>
    <w:rsid w:val="00B651B0"/>
    <w:rsid w:val="00B71E38"/>
    <w:rsid w:val="00B769D9"/>
    <w:rsid w:val="00B80E9A"/>
    <w:rsid w:val="00B90DC4"/>
    <w:rsid w:val="00B9514B"/>
    <w:rsid w:val="00B97567"/>
    <w:rsid w:val="00BA4A94"/>
    <w:rsid w:val="00BA799D"/>
    <w:rsid w:val="00BC3585"/>
    <w:rsid w:val="00BD5342"/>
    <w:rsid w:val="00BE21D4"/>
    <w:rsid w:val="00BE2F97"/>
    <w:rsid w:val="00C04A13"/>
    <w:rsid w:val="00C1372B"/>
    <w:rsid w:val="00C432AD"/>
    <w:rsid w:val="00C51A86"/>
    <w:rsid w:val="00C617B2"/>
    <w:rsid w:val="00C751A6"/>
    <w:rsid w:val="00C81BE2"/>
    <w:rsid w:val="00C960D2"/>
    <w:rsid w:val="00CA549D"/>
    <w:rsid w:val="00CA7343"/>
    <w:rsid w:val="00CB5666"/>
    <w:rsid w:val="00CD419E"/>
    <w:rsid w:val="00CE1C02"/>
    <w:rsid w:val="00D15CCA"/>
    <w:rsid w:val="00D2123E"/>
    <w:rsid w:val="00D27289"/>
    <w:rsid w:val="00D31FA0"/>
    <w:rsid w:val="00D32447"/>
    <w:rsid w:val="00D458C7"/>
    <w:rsid w:val="00D46755"/>
    <w:rsid w:val="00D57DF9"/>
    <w:rsid w:val="00D716E1"/>
    <w:rsid w:val="00D878F9"/>
    <w:rsid w:val="00DA3BF1"/>
    <w:rsid w:val="00DA573C"/>
    <w:rsid w:val="00DB4818"/>
    <w:rsid w:val="00DB4DE2"/>
    <w:rsid w:val="00DC5324"/>
    <w:rsid w:val="00DD33E0"/>
    <w:rsid w:val="00DD571D"/>
    <w:rsid w:val="00DF0ACD"/>
    <w:rsid w:val="00DF25C3"/>
    <w:rsid w:val="00E06200"/>
    <w:rsid w:val="00E16380"/>
    <w:rsid w:val="00E242DB"/>
    <w:rsid w:val="00E305DF"/>
    <w:rsid w:val="00E5082C"/>
    <w:rsid w:val="00E52AF4"/>
    <w:rsid w:val="00E60D31"/>
    <w:rsid w:val="00E673D6"/>
    <w:rsid w:val="00E71626"/>
    <w:rsid w:val="00E71CC7"/>
    <w:rsid w:val="00E74DB1"/>
    <w:rsid w:val="00E8491B"/>
    <w:rsid w:val="00E91834"/>
    <w:rsid w:val="00E91AFC"/>
    <w:rsid w:val="00E93C3E"/>
    <w:rsid w:val="00E978AF"/>
    <w:rsid w:val="00EA1399"/>
    <w:rsid w:val="00EA5FF6"/>
    <w:rsid w:val="00ED4682"/>
    <w:rsid w:val="00EE58B0"/>
    <w:rsid w:val="00EE5AE7"/>
    <w:rsid w:val="00EF2549"/>
    <w:rsid w:val="00EF3077"/>
    <w:rsid w:val="00EF3EA0"/>
    <w:rsid w:val="00F046E5"/>
    <w:rsid w:val="00F2477D"/>
    <w:rsid w:val="00F57E6C"/>
    <w:rsid w:val="00F87DEF"/>
    <w:rsid w:val="00F93526"/>
    <w:rsid w:val="00FA6481"/>
    <w:rsid w:val="00FD64B0"/>
    <w:rsid w:val="00FE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3E266"/>
  <w15:chartTrackingRefBased/>
  <w15:docId w15:val="{7DA72410-CFFB-4C5F-AFAD-4DB7ED56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0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0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0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0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0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0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0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0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0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0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0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0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07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07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07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07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07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07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qFormat/>
    <w:rsid w:val="00130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0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0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0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0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0728"/>
    <w:rPr>
      <w:i/>
      <w:iCs/>
      <w:color w:val="404040" w:themeColor="text1" w:themeTint="BF"/>
    </w:rPr>
  </w:style>
  <w:style w:type="paragraph" w:styleId="Lijstalinea">
    <w:name w:val="List Paragraph"/>
    <w:basedOn w:val="Standaard"/>
    <w:qFormat/>
    <w:rsid w:val="001307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07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0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07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072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30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0728"/>
  </w:style>
  <w:style w:type="paragraph" w:styleId="Voettekst">
    <w:name w:val="footer"/>
    <w:basedOn w:val="Standaard"/>
    <w:link w:val="VoettekstChar"/>
    <w:uiPriority w:val="99"/>
    <w:unhideWhenUsed/>
    <w:rsid w:val="00130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0728"/>
  </w:style>
  <w:style w:type="paragraph" w:customStyle="1" w:styleId="adres">
    <w:name w:val="adres"/>
    <w:basedOn w:val="Standaard"/>
    <w:rsid w:val="00DC5324"/>
    <w:pPr>
      <w:spacing w:after="0" w:line="240" w:lineRule="auto"/>
      <w:ind w:left="2268"/>
    </w:pPr>
    <w:rPr>
      <w:rFonts w:ascii="Open Sans" w:eastAsia="Times New Roman" w:hAnsi="Open Sans" w:cs="Times New Roman"/>
      <w:kern w:val="0"/>
      <w:sz w:val="26"/>
      <w:szCs w:val="20"/>
      <w:lang w:eastAsia="nl-NL"/>
      <w14:ligatures w14:val="none"/>
    </w:rPr>
  </w:style>
  <w:style w:type="table" w:styleId="Tabelraster">
    <w:name w:val="Table Grid"/>
    <w:basedOn w:val="Standaardtabel"/>
    <w:uiPriority w:val="39"/>
    <w:rsid w:val="00DA573C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ard"/>
    <w:uiPriority w:val="40"/>
    <w:qFormat/>
    <w:rsid w:val="00DA573C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unhideWhenUsed/>
    <w:rsid w:val="00DA573C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A573C"/>
    <w:rPr>
      <w:rFonts w:eastAsiaTheme="minorEastAsia" w:cs="Times New Roman"/>
      <w:kern w:val="0"/>
      <w:sz w:val="20"/>
      <w:szCs w:val="20"/>
      <w:lang w:eastAsia="nl-NL"/>
      <w14:ligatures w14:val="none"/>
    </w:rPr>
  </w:style>
  <w:style w:type="character" w:styleId="Subtielebenadrukking">
    <w:name w:val="Subtle Emphasis"/>
    <w:basedOn w:val="Standaardalinea-lettertype"/>
    <w:uiPriority w:val="19"/>
    <w:qFormat/>
    <w:rsid w:val="00DA573C"/>
    <w:rPr>
      <w:i/>
      <w:iCs/>
    </w:rPr>
  </w:style>
  <w:style w:type="table" w:styleId="Lichtearcering-accent1">
    <w:name w:val="Light Shading Accent 1"/>
    <w:basedOn w:val="Standaardtabel"/>
    <w:uiPriority w:val="60"/>
    <w:rsid w:val="00DA573C"/>
    <w:pPr>
      <w:spacing w:after="0" w:line="240" w:lineRule="auto"/>
    </w:pPr>
    <w:rPr>
      <w:rFonts w:eastAsiaTheme="minorEastAsia"/>
      <w:color w:val="0F4761" w:themeColor="accent1" w:themeShade="BF"/>
      <w:kern w:val="0"/>
      <w:sz w:val="22"/>
      <w:szCs w:val="22"/>
      <w:lang w:eastAsia="nl-NL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paragraph" w:customStyle="1" w:styleId="Stijl1">
    <w:name w:val="Stijl1"/>
    <w:basedOn w:val="Standaard"/>
    <w:link w:val="Stijl1Char"/>
    <w:qFormat/>
    <w:rsid w:val="00AB4CEE"/>
  </w:style>
  <w:style w:type="character" w:customStyle="1" w:styleId="Stijl1Char">
    <w:name w:val="Stijl1 Char"/>
    <w:basedOn w:val="Standaardalinea-lettertype"/>
    <w:link w:val="Stijl1"/>
    <w:rsid w:val="00AB4CEE"/>
  </w:style>
  <w:style w:type="paragraph" w:styleId="Normaalweb">
    <w:name w:val="Normal (Web)"/>
    <w:basedOn w:val="Standaard"/>
    <w:uiPriority w:val="99"/>
    <w:semiHidden/>
    <w:unhideWhenUsed/>
    <w:rsid w:val="002E7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0765C7"/>
    <w:rPr>
      <w:color w:val="467886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A1DC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A1DC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A1DC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E35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E35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1D234F4016640A09D63396FC336D8" ma:contentTypeVersion="11" ma:contentTypeDescription="Een nieuw document maken." ma:contentTypeScope="" ma:versionID="7c20a3eab3ed9b910b342b297a55282e">
  <xsd:schema xmlns:xsd="http://www.w3.org/2001/XMLSchema" xmlns:xs="http://www.w3.org/2001/XMLSchema" xmlns:p="http://schemas.microsoft.com/office/2006/metadata/properties" xmlns:ns2="2bdd97a5-1bc8-4ca6-90da-35a44740377c" xmlns:ns3="381f3ee3-0dda-4fa5-8d75-7ac33500202e" targetNamespace="http://schemas.microsoft.com/office/2006/metadata/properties" ma:root="true" ma:fieldsID="8aa250def5285ae716118d3910508c11" ns2:_="" ns3:_="">
    <xsd:import namespace="2bdd97a5-1bc8-4ca6-90da-35a44740377c"/>
    <xsd:import namespace="381f3ee3-0dda-4fa5-8d75-7ac335002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d97a5-1bc8-4ca6-90da-35a447403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075cca0-8c5a-407c-932f-67bd2178f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f3ee3-0dda-4fa5-8d75-7ac3350020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97fc32-20fe-4646-b460-939747361392}" ma:internalName="TaxCatchAll" ma:showField="CatchAllData" ma:web="381f3ee3-0dda-4fa5-8d75-7ac335002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dd97a5-1bc8-4ca6-90da-35a44740377c">
      <Terms xmlns="http://schemas.microsoft.com/office/infopath/2007/PartnerControls"/>
    </lcf76f155ced4ddcb4097134ff3c332f>
    <TaxCatchAll xmlns="381f3ee3-0dda-4fa5-8d75-7ac33500202e" xsi:nil="true"/>
  </documentManagement>
</p:properties>
</file>

<file path=customXml/itemProps1.xml><?xml version="1.0" encoding="utf-8"?>
<ds:datastoreItem xmlns:ds="http://schemas.openxmlformats.org/officeDocument/2006/customXml" ds:itemID="{63FCA334-01A6-40D6-A56E-44F82845B6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7C8504-80BB-4E5D-82BE-D590EE0BB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d97a5-1bc8-4ca6-90da-35a44740377c"/>
    <ds:schemaRef ds:uri="381f3ee3-0dda-4fa5-8d75-7ac335002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CFE57E-0D08-4AA4-8CE2-C62BA2D1FB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E8B2BE-1655-4601-AF19-33501F2E9C6C}">
  <ds:schemaRefs>
    <ds:schemaRef ds:uri="http://schemas.microsoft.com/office/2006/metadata/properties"/>
    <ds:schemaRef ds:uri="http://schemas.microsoft.com/office/infopath/2007/PartnerControls"/>
    <ds:schemaRef ds:uri="2bdd97a5-1bc8-4ca6-90da-35a44740377c"/>
    <ds:schemaRef ds:uri="381f3ee3-0dda-4fa5-8d75-7ac3350020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1049</Words>
  <Characters>5770</Characters>
  <Application>Microsoft Office Word</Application>
  <DocSecurity>8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van Eekeren</dc:creator>
  <cp:keywords/>
  <dc:description/>
  <cp:lastModifiedBy>Rik Verdaas</cp:lastModifiedBy>
  <cp:revision>16</cp:revision>
  <cp:lastPrinted>2026-01-05T14:02:00Z</cp:lastPrinted>
  <dcterms:created xsi:type="dcterms:W3CDTF">2026-01-05T10:32:00Z</dcterms:created>
  <dcterms:modified xsi:type="dcterms:W3CDTF">2026-01-20T10:09:00Z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0x0101004611D234F4016640A09D63396FC336D8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